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E77D8" w14:textId="77777777" w:rsidR="00131D13" w:rsidRDefault="00131D13" w:rsidP="00131D13">
      <w:pPr>
        <w:spacing w:after="0" w:line="240"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noProof/>
          <w:sz w:val="24"/>
          <w:szCs w:val="24"/>
          <w:lang w:eastAsia="hr-HR"/>
        </w:rPr>
        <w:drawing>
          <wp:anchor distT="0" distB="0" distL="114300" distR="114300" simplePos="0" relativeHeight="251659264" behindDoc="0" locked="0" layoutInCell="1" allowOverlap="1" wp14:anchorId="7E52F7B9" wp14:editId="4FF6693F">
            <wp:simplePos x="0" y="0"/>
            <wp:positionH relativeFrom="margin">
              <wp:align>center</wp:align>
            </wp:positionH>
            <wp:positionV relativeFrom="paragraph">
              <wp:posOffset>0</wp:posOffset>
            </wp:positionV>
            <wp:extent cx="2495550" cy="499110"/>
            <wp:effectExtent l="0" t="0" r="0" b="0"/>
            <wp:wrapSquare wrapText="bothSides"/>
            <wp:docPr id="3" name="Slika 3" descr="http://montegiro.hr/images/stori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descr="http://montegiro.hr/images/storie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499110"/>
                    </a:xfrm>
                    <a:prstGeom prst="rect">
                      <a:avLst/>
                    </a:prstGeom>
                    <a:noFill/>
                  </pic:spPr>
                </pic:pic>
              </a:graphicData>
            </a:graphic>
            <wp14:sizeRelH relativeFrom="page">
              <wp14:pctWidth>0</wp14:pctWidth>
            </wp14:sizeRelH>
            <wp14:sizeRelV relativeFrom="page">
              <wp14:pctHeight>0</wp14:pctHeight>
            </wp14:sizeRelV>
          </wp:anchor>
        </w:drawing>
      </w:r>
    </w:p>
    <w:p w14:paraId="26B85E2E" w14:textId="77777777" w:rsidR="00131D13" w:rsidRDefault="00131D13" w:rsidP="00131D13">
      <w:pPr>
        <w:spacing w:after="0" w:line="240" w:lineRule="auto"/>
        <w:rPr>
          <w:rFonts w:ascii="Times New Roman" w:eastAsia="Times New Roman" w:hAnsi="Times New Roman" w:cs="Times New Roman"/>
          <w:b/>
          <w:sz w:val="24"/>
          <w:szCs w:val="24"/>
        </w:rPr>
      </w:pPr>
    </w:p>
    <w:p w14:paraId="0A01D3D8" w14:textId="77777777" w:rsidR="00131D13" w:rsidRDefault="00131D13" w:rsidP="00131D13">
      <w:pPr>
        <w:spacing w:after="0" w:line="240" w:lineRule="auto"/>
        <w:rPr>
          <w:rFonts w:ascii="Times New Roman" w:eastAsia="Times New Roman" w:hAnsi="Times New Roman" w:cs="Times New Roman"/>
          <w:b/>
          <w:sz w:val="24"/>
          <w:szCs w:val="24"/>
        </w:rPr>
      </w:pPr>
    </w:p>
    <w:p w14:paraId="0328C3BD" w14:textId="77777777" w:rsidR="00131D13" w:rsidRDefault="00131D13" w:rsidP="00131D13">
      <w:pPr>
        <w:spacing w:after="0" w:line="240" w:lineRule="auto"/>
        <w:rPr>
          <w:rFonts w:ascii="Times New Roman" w:eastAsia="Times New Roman" w:hAnsi="Times New Roman" w:cs="Times New Roman"/>
          <w:b/>
          <w:sz w:val="24"/>
          <w:szCs w:val="24"/>
        </w:rPr>
      </w:pPr>
    </w:p>
    <w:p w14:paraId="4DE9DAF6" w14:textId="77777777" w:rsidR="00131D13" w:rsidRPr="009C7409" w:rsidRDefault="00131D13" w:rsidP="00131D13">
      <w:pPr>
        <w:spacing w:after="0" w:line="240" w:lineRule="auto"/>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MONTE GIRO d.o.o. Pula</w:t>
      </w:r>
    </w:p>
    <w:p w14:paraId="1F81FD24" w14:textId="77777777" w:rsidR="00131D13" w:rsidRPr="009C7409" w:rsidRDefault="00131D13" w:rsidP="00131D13">
      <w:pPr>
        <w:spacing w:after="0" w:line="240" w:lineRule="auto"/>
        <w:rPr>
          <w:rFonts w:ascii="Times New Roman" w:eastAsia="Times New Roman" w:hAnsi="Times New Roman" w:cs="Times New Roman"/>
          <w:b/>
          <w:sz w:val="24"/>
          <w:szCs w:val="24"/>
        </w:rPr>
      </w:pPr>
      <w:proofErr w:type="spellStart"/>
      <w:r w:rsidRPr="009C7409">
        <w:rPr>
          <w:rFonts w:ascii="Times New Roman" w:eastAsia="Times New Roman" w:hAnsi="Times New Roman" w:cs="Times New Roman"/>
          <w:b/>
          <w:sz w:val="24"/>
          <w:szCs w:val="24"/>
        </w:rPr>
        <w:t>Kumičićeva</w:t>
      </w:r>
      <w:proofErr w:type="spellEnd"/>
      <w:r w:rsidRPr="009C7409">
        <w:rPr>
          <w:rFonts w:ascii="Times New Roman" w:eastAsia="Times New Roman" w:hAnsi="Times New Roman" w:cs="Times New Roman"/>
          <w:b/>
          <w:sz w:val="24"/>
          <w:szCs w:val="24"/>
        </w:rPr>
        <w:t xml:space="preserve"> 22</w:t>
      </w:r>
    </w:p>
    <w:p w14:paraId="58D91C87" w14:textId="77777777" w:rsidR="00131D13" w:rsidRPr="009C7409" w:rsidRDefault="00131D13" w:rsidP="00131D13">
      <w:pPr>
        <w:spacing w:after="0" w:line="240" w:lineRule="auto"/>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52100 Pula</w:t>
      </w:r>
    </w:p>
    <w:p w14:paraId="1C2847B4" w14:textId="77777777" w:rsidR="00131D13" w:rsidRPr="009C7409" w:rsidRDefault="00131D13" w:rsidP="00131D13">
      <w:pPr>
        <w:spacing w:after="0" w:line="240" w:lineRule="auto"/>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MBS  040013925</w:t>
      </w:r>
    </w:p>
    <w:p w14:paraId="50538401" w14:textId="77777777" w:rsidR="00131D13" w:rsidRPr="009C7409" w:rsidRDefault="00131D13" w:rsidP="00131D13">
      <w:pPr>
        <w:spacing w:after="0" w:line="240" w:lineRule="auto"/>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OIB 68652112489</w:t>
      </w:r>
    </w:p>
    <w:p w14:paraId="2EFBFC5F" w14:textId="77777777" w:rsidR="00131D13" w:rsidRPr="009C7409" w:rsidRDefault="00131D13" w:rsidP="00131D13">
      <w:pPr>
        <w:spacing w:after="0" w:line="240" w:lineRule="auto"/>
        <w:jc w:val="center"/>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Bilješke uz financijske izvještaje</w:t>
      </w:r>
    </w:p>
    <w:p w14:paraId="140D9278" w14:textId="58ABFADA" w:rsidR="00131D13" w:rsidRPr="009C7409" w:rsidRDefault="00131D13" w:rsidP="00131D13">
      <w:pPr>
        <w:spacing w:after="0" w:line="240" w:lineRule="auto"/>
        <w:jc w:val="center"/>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za 20</w:t>
      </w:r>
      <w:r w:rsidR="001806A2">
        <w:rPr>
          <w:rFonts w:ascii="Times New Roman" w:eastAsia="Times New Roman" w:hAnsi="Times New Roman" w:cs="Times New Roman"/>
          <w:b/>
          <w:sz w:val="24"/>
          <w:szCs w:val="24"/>
        </w:rPr>
        <w:t>2</w:t>
      </w:r>
      <w:r w:rsidR="00E81CB2">
        <w:rPr>
          <w:rFonts w:ascii="Times New Roman" w:eastAsia="Times New Roman" w:hAnsi="Times New Roman" w:cs="Times New Roman"/>
          <w:b/>
          <w:sz w:val="24"/>
          <w:szCs w:val="24"/>
        </w:rPr>
        <w:t>2</w:t>
      </w:r>
      <w:r w:rsidR="001806A2">
        <w:rPr>
          <w:rFonts w:ascii="Times New Roman" w:eastAsia="Times New Roman" w:hAnsi="Times New Roman" w:cs="Times New Roman"/>
          <w:b/>
          <w:sz w:val="24"/>
          <w:szCs w:val="24"/>
        </w:rPr>
        <w:t>.</w:t>
      </w:r>
      <w:r w:rsidRPr="009C7409">
        <w:rPr>
          <w:rFonts w:ascii="Times New Roman" w:eastAsia="Times New Roman" w:hAnsi="Times New Roman" w:cs="Times New Roman"/>
          <w:b/>
          <w:sz w:val="24"/>
          <w:szCs w:val="24"/>
        </w:rPr>
        <w:t xml:space="preserve"> godinu</w:t>
      </w:r>
    </w:p>
    <w:p w14:paraId="67B8C3C8" w14:textId="77777777" w:rsidR="00131D13" w:rsidRPr="009C7409" w:rsidRDefault="00131D13" w:rsidP="00131D13">
      <w:pPr>
        <w:spacing w:after="0" w:line="240" w:lineRule="auto"/>
        <w:jc w:val="center"/>
        <w:rPr>
          <w:rFonts w:ascii="Times New Roman" w:eastAsia="Times New Roman" w:hAnsi="Times New Roman" w:cs="Times New Roman"/>
          <w:b/>
          <w:sz w:val="24"/>
          <w:szCs w:val="24"/>
        </w:rPr>
      </w:pPr>
    </w:p>
    <w:p w14:paraId="363BC6B8" w14:textId="77777777" w:rsidR="00131D13" w:rsidRPr="00F22DFE" w:rsidRDefault="00131D13" w:rsidP="00131D13">
      <w:pPr>
        <w:spacing w:after="0" w:line="240" w:lineRule="auto"/>
        <w:rPr>
          <w:rFonts w:ascii="Times New Roman" w:eastAsia="Times New Roman" w:hAnsi="Times New Roman" w:cs="Times New Roman"/>
          <w:b/>
        </w:rPr>
      </w:pPr>
      <w:r w:rsidRPr="00F22DFE">
        <w:rPr>
          <w:rFonts w:ascii="Times New Roman" w:eastAsia="Times New Roman" w:hAnsi="Times New Roman" w:cs="Times New Roman"/>
          <w:b/>
        </w:rPr>
        <w:t>Općenito</w:t>
      </w:r>
    </w:p>
    <w:p w14:paraId="2E434C5F"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MONTE GIRO, društvo s ograničenom odgovornošću Pula upisano je u sudski registar Trgovačkog suda u Rijeci stalna služba Pazin. Jedini osnivač društva je Grad Pula.</w:t>
      </w:r>
    </w:p>
    <w:p w14:paraId="66D5B5F2" w14:textId="77777777" w:rsidR="00131D13" w:rsidRPr="00F22DFE" w:rsidRDefault="00131D13" w:rsidP="00131D13">
      <w:pPr>
        <w:keepNext/>
        <w:shd w:val="clear" w:color="auto" w:fill="F8F8F8"/>
        <w:spacing w:before="240" w:after="75" w:line="240" w:lineRule="auto"/>
        <w:outlineLvl w:val="1"/>
        <w:rPr>
          <w:rFonts w:ascii="Times New Roman" w:eastAsia="Times New Roman" w:hAnsi="Times New Roman" w:cs="Times New Roman"/>
          <w:bCs/>
          <w:iCs/>
          <w:lang w:eastAsia="hr-HR"/>
        </w:rPr>
      </w:pPr>
      <w:r w:rsidRPr="00F22DFE">
        <w:rPr>
          <w:rFonts w:ascii="Times New Roman" w:eastAsia="Times New Roman" w:hAnsi="Times New Roman" w:cs="Times New Roman"/>
          <w:bCs/>
          <w:iCs/>
          <w:lang w:eastAsia="hr-HR"/>
        </w:rPr>
        <w:t>Predmet poslovanja - pogrebne i srodne djelatnosti:</w:t>
      </w:r>
    </w:p>
    <w:p w14:paraId="2FB1F229"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upravljanje grobljima na području grada Pule</w:t>
      </w:r>
    </w:p>
    <w:p w14:paraId="58A3E24A"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održavanje groblja i krematorija, prostora i zgrada te drugih pratećih objekata za obavljanje ispraćaja i sahrane pokojnika, te ukop i kremiranje pokojnika</w:t>
      </w:r>
    </w:p>
    <w:p w14:paraId="222D1118"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obavljanje pogrebnih poslova - preuzimanje, opremanje i prijevoz pokojnika/umrle osobe od mjesta smrti do mrtvačnice ili krematorija</w:t>
      </w:r>
    </w:p>
    <w:p w14:paraId="35F581E3"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proizvodno-prerađivačke djelatnosti:</w:t>
      </w:r>
    </w:p>
    <w:p w14:paraId="2684B5D6"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izrada grobnica, nadgrobnih spomenika i ukrasnih predmeta, njihova montaža i demontaža, oblaganje grobnica kamenom i sl.</w:t>
      </w:r>
    </w:p>
    <w:p w14:paraId="4C409A73"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 xml:space="preserve">proizvodnja cvijeća i sadnica, izrada ukrasnih aranžmana od svježeg i umjetnog cvijeća, vijenaca, buketa i </w:t>
      </w:r>
      <w:proofErr w:type="spellStart"/>
      <w:r w:rsidRPr="00F22DFE">
        <w:rPr>
          <w:rFonts w:ascii="Times New Roman" w:eastAsia="Times New Roman" w:hAnsi="Times New Roman" w:cs="Times New Roman"/>
        </w:rPr>
        <w:t>sl</w:t>
      </w:r>
      <w:proofErr w:type="spellEnd"/>
    </w:p>
    <w:p w14:paraId="65720118"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izrada drvenih i metalnih kovčega za umrle osobe</w:t>
      </w:r>
    </w:p>
    <w:p w14:paraId="61A0F552"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 xml:space="preserve">trgovina na malo proizvodima namijenjenim preuzimanju, opremanju, prijevozu i ukopu umrlih osoba (vijenci i drugi cvjetni aranžmani, sanduci za pokojnike, odjeća, obuća, lončanice, svijeće, vaze i </w:t>
      </w:r>
      <w:proofErr w:type="spellStart"/>
      <w:r w:rsidRPr="00F22DFE">
        <w:rPr>
          <w:rFonts w:ascii="Times New Roman" w:eastAsia="Times New Roman" w:hAnsi="Times New Roman" w:cs="Times New Roman"/>
        </w:rPr>
        <w:t>sl</w:t>
      </w:r>
      <w:proofErr w:type="spellEnd"/>
    </w:p>
    <w:p w14:paraId="76F03170"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prijevoz putnika i tereta u unutarnjem i međunarodnom cestovnom prometu (prijevoz umrlih osoba i njihovih obitelji, opreme za ukop i sl.), i prijevoz za vlastite potrebe</w:t>
      </w:r>
    </w:p>
    <w:p w14:paraId="77A5900B"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djelatnost skupljanja, prijevoza, posredovanja u organiziranju uporabe, zbrinjavanja, odnosno gospodarenje posebnim kategorijama otpada, uvoz i izvoz otpada.</w:t>
      </w:r>
    </w:p>
    <w:p w14:paraId="2593E7AA" w14:textId="77777777"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Članovi Nadzornog odbora su:</w:t>
      </w:r>
    </w:p>
    <w:p w14:paraId="362B2D5D" w14:textId="77777777" w:rsidR="00131D13" w:rsidRPr="00F22DFE" w:rsidRDefault="00131D13" w:rsidP="00131D13">
      <w:pPr>
        <w:spacing w:after="0" w:line="240" w:lineRule="auto"/>
        <w:rPr>
          <w:rFonts w:ascii="Times New Roman" w:eastAsia="Times New Roman" w:hAnsi="Times New Roman" w:cs="Times New Roman"/>
        </w:rPr>
      </w:pPr>
    </w:p>
    <w:p w14:paraId="6F1863B9" w14:textId="58C36EA3" w:rsidR="00E5153C" w:rsidRDefault="00E5153C" w:rsidP="00131D1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Antonela Diminić iz Pule, predsjednik </w:t>
      </w:r>
    </w:p>
    <w:p w14:paraId="373514DF" w14:textId="5C783D34" w:rsidR="00E5153C" w:rsidRPr="00F22DFE" w:rsidRDefault="00E5153C" w:rsidP="00131D1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Ivo </w:t>
      </w:r>
      <w:proofErr w:type="spellStart"/>
      <w:r>
        <w:rPr>
          <w:rFonts w:ascii="Times New Roman" w:eastAsia="Times New Roman" w:hAnsi="Times New Roman" w:cs="Times New Roman"/>
        </w:rPr>
        <w:t>Jelenaca</w:t>
      </w:r>
      <w:proofErr w:type="spellEnd"/>
      <w:r>
        <w:rPr>
          <w:rFonts w:ascii="Times New Roman" w:eastAsia="Times New Roman" w:hAnsi="Times New Roman" w:cs="Times New Roman"/>
        </w:rPr>
        <w:t xml:space="preserve"> iz Pule, zamjenik predsjednika Nadzornog odbora </w:t>
      </w:r>
    </w:p>
    <w:p w14:paraId="0AF2D5F9" w14:textId="01E4A982" w:rsidR="00803BE9"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Drago Glumac iz Pule član Nadzornog odbora</w:t>
      </w:r>
      <w:r w:rsidR="00E81CB2">
        <w:rPr>
          <w:rFonts w:ascii="Times New Roman" w:eastAsia="Times New Roman" w:hAnsi="Times New Roman" w:cs="Times New Roman"/>
        </w:rPr>
        <w:t xml:space="preserve"> do</w:t>
      </w:r>
      <w:r w:rsidR="00B70133">
        <w:rPr>
          <w:rFonts w:ascii="Times New Roman" w:eastAsia="Times New Roman" w:hAnsi="Times New Roman" w:cs="Times New Roman"/>
        </w:rPr>
        <w:t xml:space="preserve"> </w:t>
      </w:r>
      <w:r w:rsidR="00CA42C6">
        <w:rPr>
          <w:rFonts w:ascii="Times New Roman" w:eastAsia="Times New Roman" w:hAnsi="Times New Roman" w:cs="Times New Roman"/>
        </w:rPr>
        <w:t>28.08.2022.</w:t>
      </w:r>
    </w:p>
    <w:p w14:paraId="7AEF5230" w14:textId="4C696215" w:rsidR="00E81CB2" w:rsidRDefault="00E81CB2" w:rsidP="00131D1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Martinčić Lorena iz Pule član Nadzornog odbora od </w:t>
      </w:r>
      <w:r w:rsidR="00CA42C6">
        <w:rPr>
          <w:rFonts w:ascii="Times New Roman" w:eastAsia="Times New Roman" w:hAnsi="Times New Roman" w:cs="Times New Roman"/>
        </w:rPr>
        <w:t>29.08.2022.</w:t>
      </w:r>
    </w:p>
    <w:p w14:paraId="1CC56810" w14:textId="35A05E7D" w:rsidR="00E5153C" w:rsidRDefault="00E5153C" w:rsidP="00131D1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Osoba ovlaštena za zastupanje: Vesna </w:t>
      </w:r>
      <w:proofErr w:type="spellStart"/>
      <w:r>
        <w:rPr>
          <w:rFonts w:ascii="Times New Roman" w:eastAsia="Times New Roman" w:hAnsi="Times New Roman" w:cs="Times New Roman"/>
        </w:rPr>
        <w:t>Sajić</w:t>
      </w:r>
      <w:proofErr w:type="spellEnd"/>
      <w:r w:rsidR="009276D2">
        <w:rPr>
          <w:rFonts w:ascii="Times New Roman" w:eastAsia="Times New Roman" w:hAnsi="Times New Roman" w:cs="Times New Roman"/>
        </w:rPr>
        <w:t>, direktor</w:t>
      </w:r>
      <w:r>
        <w:rPr>
          <w:rFonts w:ascii="Times New Roman" w:eastAsia="Times New Roman" w:hAnsi="Times New Roman" w:cs="Times New Roman"/>
        </w:rPr>
        <w:t xml:space="preserve"> </w:t>
      </w:r>
      <w:r w:rsidR="00E81CB2">
        <w:rPr>
          <w:rFonts w:ascii="Times New Roman" w:eastAsia="Times New Roman" w:hAnsi="Times New Roman" w:cs="Times New Roman"/>
        </w:rPr>
        <w:t>do</w:t>
      </w:r>
      <w:r>
        <w:rPr>
          <w:rFonts w:ascii="Times New Roman" w:eastAsia="Times New Roman" w:hAnsi="Times New Roman" w:cs="Times New Roman"/>
        </w:rPr>
        <w:t xml:space="preserve"> </w:t>
      </w:r>
      <w:r w:rsidR="00E81CB2">
        <w:rPr>
          <w:rFonts w:ascii="Times New Roman" w:eastAsia="Times New Roman" w:hAnsi="Times New Roman" w:cs="Times New Roman"/>
        </w:rPr>
        <w:t>31</w:t>
      </w:r>
      <w:r>
        <w:rPr>
          <w:rFonts w:ascii="Times New Roman" w:eastAsia="Times New Roman" w:hAnsi="Times New Roman" w:cs="Times New Roman"/>
        </w:rPr>
        <w:t>.</w:t>
      </w:r>
      <w:r w:rsidR="00E81CB2">
        <w:rPr>
          <w:rFonts w:ascii="Times New Roman" w:eastAsia="Times New Roman" w:hAnsi="Times New Roman" w:cs="Times New Roman"/>
        </w:rPr>
        <w:t>01</w:t>
      </w:r>
      <w:r>
        <w:rPr>
          <w:rFonts w:ascii="Times New Roman" w:eastAsia="Times New Roman" w:hAnsi="Times New Roman" w:cs="Times New Roman"/>
        </w:rPr>
        <w:t>.202</w:t>
      </w:r>
      <w:r w:rsidR="00E81CB2">
        <w:rPr>
          <w:rFonts w:ascii="Times New Roman" w:eastAsia="Times New Roman" w:hAnsi="Times New Roman" w:cs="Times New Roman"/>
        </w:rPr>
        <w:t>2</w:t>
      </w:r>
      <w:r>
        <w:rPr>
          <w:rFonts w:ascii="Times New Roman" w:eastAsia="Times New Roman" w:hAnsi="Times New Roman" w:cs="Times New Roman"/>
        </w:rPr>
        <w:t>.</w:t>
      </w:r>
    </w:p>
    <w:p w14:paraId="3B9BDEEC" w14:textId="1AD94913" w:rsidR="00E81CB2" w:rsidRDefault="00E81CB2" w:rsidP="00E81CB2">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Osoba ovlaštena za zastupanje:</w:t>
      </w:r>
      <w:r>
        <w:rPr>
          <w:rFonts w:ascii="Times New Roman" w:eastAsia="Times New Roman" w:hAnsi="Times New Roman" w:cs="Times New Roman"/>
        </w:rPr>
        <w:t xml:space="preserve"> </w:t>
      </w:r>
      <w:r w:rsidRPr="00F22DFE">
        <w:rPr>
          <w:rFonts w:ascii="Times New Roman" w:eastAsia="Times New Roman" w:hAnsi="Times New Roman" w:cs="Times New Roman"/>
        </w:rPr>
        <w:t>Darko B</w:t>
      </w:r>
      <w:r>
        <w:rPr>
          <w:rFonts w:ascii="Times New Roman" w:eastAsia="Times New Roman" w:hAnsi="Times New Roman" w:cs="Times New Roman"/>
        </w:rPr>
        <w:t>ijelić</w:t>
      </w:r>
      <w:r w:rsidRPr="00F22DFE">
        <w:rPr>
          <w:rFonts w:ascii="Times New Roman" w:eastAsia="Times New Roman" w:hAnsi="Times New Roman" w:cs="Times New Roman"/>
        </w:rPr>
        <w:t>, direktor</w:t>
      </w:r>
      <w:r>
        <w:rPr>
          <w:rFonts w:ascii="Times New Roman" w:eastAsia="Times New Roman" w:hAnsi="Times New Roman" w:cs="Times New Roman"/>
        </w:rPr>
        <w:t xml:space="preserve"> od  01.02.2022.</w:t>
      </w:r>
    </w:p>
    <w:p w14:paraId="63D348C7" w14:textId="77777777" w:rsidR="00E81CB2" w:rsidRPr="00F22DFE" w:rsidRDefault="00E81CB2" w:rsidP="00131D13">
      <w:pPr>
        <w:spacing w:after="0" w:line="240" w:lineRule="auto"/>
        <w:rPr>
          <w:rFonts w:ascii="Times New Roman" w:eastAsia="Times New Roman" w:hAnsi="Times New Roman" w:cs="Times New Roman"/>
        </w:rPr>
      </w:pPr>
    </w:p>
    <w:p w14:paraId="1E7B283F" w14:textId="77777777" w:rsidR="00131D13" w:rsidRPr="00F22DFE" w:rsidRDefault="00131D13" w:rsidP="00131D13">
      <w:pPr>
        <w:spacing w:after="0" w:line="240" w:lineRule="auto"/>
        <w:rPr>
          <w:rFonts w:ascii="Times New Roman" w:eastAsia="Times New Roman" w:hAnsi="Times New Roman" w:cs="Times New Roman"/>
        </w:rPr>
      </w:pPr>
    </w:p>
    <w:p w14:paraId="75C3B188" w14:textId="3C478697"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Tijekom razdoblja na temelju sati rada</w:t>
      </w:r>
      <w:r w:rsidR="0031581C">
        <w:rPr>
          <w:rFonts w:ascii="Times New Roman" w:eastAsia="Times New Roman" w:hAnsi="Times New Roman" w:cs="Times New Roman"/>
        </w:rPr>
        <w:t xml:space="preserve"> u </w:t>
      </w:r>
      <w:r w:rsidR="00E81CB2">
        <w:rPr>
          <w:rFonts w:ascii="Times New Roman" w:eastAsia="Times New Roman" w:hAnsi="Times New Roman" w:cs="Times New Roman"/>
        </w:rPr>
        <w:t>2</w:t>
      </w:r>
      <w:r w:rsidR="00CA42C6">
        <w:rPr>
          <w:rFonts w:ascii="Times New Roman" w:eastAsia="Times New Roman" w:hAnsi="Times New Roman" w:cs="Times New Roman"/>
        </w:rPr>
        <w:t>022.</w:t>
      </w:r>
      <w:r w:rsidR="0031581C">
        <w:rPr>
          <w:rFonts w:ascii="Times New Roman" w:eastAsia="Times New Roman" w:hAnsi="Times New Roman" w:cs="Times New Roman"/>
        </w:rPr>
        <w:t xml:space="preserve"> godini</w:t>
      </w:r>
      <w:r w:rsidRPr="00F22DFE">
        <w:rPr>
          <w:rFonts w:ascii="Times New Roman" w:eastAsia="Times New Roman" w:hAnsi="Times New Roman" w:cs="Times New Roman"/>
        </w:rPr>
        <w:t>, Društvo je prosječno zapošljavalo 3</w:t>
      </w:r>
      <w:r w:rsidR="00851B24">
        <w:rPr>
          <w:rFonts w:ascii="Times New Roman" w:eastAsia="Times New Roman" w:hAnsi="Times New Roman" w:cs="Times New Roman"/>
        </w:rPr>
        <w:t>4</w:t>
      </w:r>
      <w:r w:rsidRPr="00F22DFE">
        <w:rPr>
          <w:rFonts w:ascii="Times New Roman" w:eastAsia="Times New Roman" w:hAnsi="Times New Roman" w:cs="Times New Roman"/>
        </w:rPr>
        <w:t xml:space="preserve"> radnika.</w:t>
      </w:r>
    </w:p>
    <w:p w14:paraId="6F7E9488" w14:textId="7BDEC73A"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Društvo se temeljem pokazatelja na dan 31.12.20</w:t>
      </w:r>
      <w:r w:rsidR="0014648D">
        <w:rPr>
          <w:rFonts w:ascii="Times New Roman" w:eastAsia="Times New Roman" w:hAnsi="Times New Roman" w:cs="Times New Roman"/>
        </w:rPr>
        <w:t>2</w:t>
      </w:r>
      <w:r w:rsidR="00E81CB2">
        <w:rPr>
          <w:rFonts w:ascii="Times New Roman" w:eastAsia="Times New Roman" w:hAnsi="Times New Roman" w:cs="Times New Roman"/>
        </w:rPr>
        <w:t>2</w:t>
      </w:r>
      <w:r w:rsidRPr="00F22DFE">
        <w:rPr>
          <w:rFonts w:ascii="Times New Roman" w:eastAsia="Times New Roman" w:hAnsi="Times New Roman" w:cs="Times New Roman"/>
        </w:rPr>
        <w:t>. razvrstalo kao mali poduzetnik.</w:t>
      </w:r>
    </w:p>
    <w:p w14:paraId="6615156C" w14:textId="77777777" w:rsidR="00131D13" w:rsidRPr="00F22DFE" w:rsidRDefault="00131D13" w:rsidP="00131D13">
      <w:pPr>
        <w:spacing w:after="0" w:line="240" w:lineRule="auto"/>
        <w:rPr>
          <w:rFonts w:ascii="Times New Roman" w:eastAsia="Times New Roman" w:hAnsi="Times New Roman" w:cs="Times New Roman"/>
        </w:rPr>
      </w:pPr>
    </w:p>
    <w:p w14:paraId="51E3BF5A" w14:textId="77777777" w:rsidR="00131D13" w:rsidRPr="00F22DFE" w:rsidRDefault="00131D13" w:rsidP="00131D13">
      <w:pPr>
        <w:spacing w:after="0" w:line="240" w:lineRule="auto"/>
        <w:rPr>
          <w:rFonts w:ascii="Times New Roman" w:eastAsia="Times New Roman" w:hAnsi="Times New Roman" w:cs="Times New Roman"/>
        </w:rPr>
      </w:pPr>
    </w:p>
    <w:p w14:paraId="2930C7D9" w14:textId="77777777" w:rsidR="00131D13" w:rsidRPr="00F22DFE" w:rsidRDefault="00131D13" w:rsidP="00131D13">
      <w:pPr>
        <w:spacing w:after="0" w:line="240" w:lineRule="auto"/>
        <w:rPr>
          <w:rFonts w:ascii="Times New Roman" w:eastAsia="Times New Roman" w:hAnsi="Times New Roman" w:cs="Times New Roman"/>
        </w:rPr>
      </w:pPr>
    </w:p>
    <w:p w14:paraId="4F6F95BD" w14:textId="77777777" w:rsidR="00131D13" w:rsidRPr="00F22DFE" w:rsidRDefault="00131D13" w:rsidP="00131D13">
      <w:pPr>
        <w:spacing w:after="0" w:line="240" w:lineRule="auto"/>
        <w:jc w:val="both"/>
        <w:rPr>
          <w:rFonts w:ascii="Times New Roman" w:eastAsia="Times New Roman" w:hAnsi="Times New Roman" w:cs="Times New Roman"/>
          <w:b/>
        </w:rPr>
      </w:pPr>
    </w:p>
    <w:p w14:paraId="06D05F90" w14:textId="77777777" w:rsidR="00131D13" w:rsidRPr="00F22DFE" w:rsidRDefault="00131D13" w:rsidP="00131D13">
      <w:pPr>
        <w:spacing w:after="0" w:line="240" w:lineRule="auto"/>
        <w:jc w:val="both"/>
        <w:rPr>
          <w:rFonts w:ascii="Times New Roman" w:eastAsia="Times New Roman" w:hAnsi="Times New Roman" w:cs="Times New Roman"/>
          <w:b/>
        </w:rPr>
      </w:pPr>
    </w:p>
    <w:p w14:paraId="02EEBA02" w14:textId="77777777" w:rsidR="00131D13" w:rsidRPr="00F22DFE" w:rsidRDefault="00131D13" w:rsidP="00131D13">
      <w:pPr>
        <w:spacing w:after="0" w:line="240" w:lineRule="auto"/>
        <w:jc w:val="both"/>
        <w:rPr>
          <w:rFonts w:ascii="Times New Roman" w:eastAsia="Times New Roman" w:hAnsi="Times New Roman" w:cs="Times New Roman"/>
          <w:b/>
        </w:rPr>
      </w:pPr>
    </w:p>
    <w:p w14:paraId="1B629607" w14:textId="77777777" w:rsidR="00131D13" w:rsidRPr="00F22DFE" w:rsidRDefault="00131D13" w:rsidP="00131D13">
      <w:pPr>
        <w:spacing w:after="0" w:line="240" w:lineRule="auto"/>
        <w:jc w:val="both"/>
        <w:rPr>
          <w:rFonts w:ascii="Times New Roman" w:eastAsia="Times New Roman" w:hAnsi="Times New Roman" w:cs="Times New Roman"/>
          <w:b/>
        </w:rPr>
      </w:pPr>
    </w:p>
    <w:p w14:paraId="30223FF8" w14:textId="77777777" w:rsidR="00131D13" w:rsidRDefault="00131D13" w:rsidP="00131D13">
      <w:pPr>
        <w:spacing w:after="0" w:line="240" w:lineRule="auto"/>
        <w:jc w:val="both"/>
        <w:rPr>
          <w:rFonts w:ascii="Times New Roman" w:eastAsia="Times New Roman" w:hAnsi="Times New Roman" w:cs="Times New Roman"/>
          <w:b/>
        </w:rPr>
      </w:pPr>
    </w:p>
    <w:p w14:paraId="2CFCEB21" w14:textId="77777777" w:rsidR="00DC50CD" w:rsidRDefault="00DC50CD" w:rsidP="00131D13">
      <w:pPr>
        <w:spacing w:after="0" w:line="240" w:lineRule="auto"/>
        <w:jc w:val="both"/>
        <w:rPr>
          <w:rFonts w:ascii="Times New Roman" w:eastAsia="Times New Roman" w:hAnsi="Times New Roman" w:cs="Times New Roman"/>
          <w:b/>
        </w:rPr>
      </w:pPr>
    </w:p>
    <w:p w14:paraId="759C7B66" w14:textId="77777777" w:rsidR="00131D13" w:rsidRPr="00F22DFE" w:rsidRDefault="00131D13" w:rsidP="00131D13">
      <w:pPr>
        <w:spacing w:after="0" w:line="240" w:lineRule="auto"/>
        <w:jc w:val="both"/>
        <w:rPr>
          <w:rFonts w:ascii="Times New Roman" w:eastAsia="Times New Roman" w:hAnsi="Times New Roman" w:cs="Times New Roman"/>
          <w:b/>
        </w:rPr>
      </w:pPr>
      <w:r w:rsidRPr="00F22DFE">
        <w:rPr>
          <w:rFonts w:ascii="Times New Roman" w:eastAsia="Times New Roman" w:hAnsi="Times New Roman" w:cs="Times New Roman"/>
          <w:b/>
        </w:rPr>
        <w:t xml:space="preserve">Bilješka 1. </w:t>
      </w:r>
      <w:r w:rsidRPr="00F22DFE">
        <w:rPr>
          <w:rFonts w:ascii="Times New Roman" w:eastAsia="Times New Roman" w:hAnsi="Times New Roman" w:cs="Times New Roman"/>
          <w:b/>
        </w:rPr>
        <w:tab/>
        <w:t>Temelj za prezentiranje financijskih izvještaja</w:t>
      </w:r>
    </w:p>
    <w:p w14:paraId="0F3701B4" w14:textId="77777777" w:rsidR="00131D13" w:rsidRPr="00F22DFE" w:rsidRDefault="00131D13" w:rsidP="00131D13">
      <w:pPr>
        <w:spacing w:after="0" w:line="240" w:lineRule="auto"/>
        <w:ind w:left="360"/>
        <w:jc w:val="both"/>
        <w:rPr>
          <w:rFonts w:ascii="Times New Roman" w:eastAsia="Times New Roman" w:hAnsi="Times New Roman" w:cs="Times New Roman"/>
          <w:b/>
        </w:rPr>
      </w:pPr>
    </w:p>
    <w:p w14:paraId="4C48FD6E" w14:textId="77777777" w:rsidR="00131D13" w:rsidRPr="00F22DFE" w:rsidRDefault="00131D13" w:rsidP="00131D13">
      <w:pPr>
        <w:spacing w:after="0" w:line="240" w:lineRule="auto"/>
        <w:ind w:left="360"/>
        <w:jc w:val="both"/>
        <w:rPr>
          <w:rFonts w:ascii="Times New Roman" w:eastAsia="Times New Roman" w:hAnsi="Times New Roman" w:cs="Times New Roman"/>
          <w:b/>
        </w:rPr>
      </w:pPr>
      <w:r w:rsidRPr="00F22DFE">
        <w:rPr>
          <w:rFonts w:ascii="Times New Roman" w:eastAsia="Times New Roman" w:hAnsi="Times New Roman" w:cs="Times New Roman"/>
          <w:b/>
        </w:rPr>
        <w:t>1.1. Usklađenost sa standardima</w:t>
      </w:r>
    </w:p>
    <w:p w14:paraId="272F30CA" w14:textId="77777777" w:rsidR="00131D13" w:rsidRPr="00F22DFE" w:rsidRDefault="00131D13" w:rsidP="00131D13">
      <w:pPr>
        <w:spacing w:after="0" w:line="240" w:lineRule="auto"/>
        <w:ind w:left="360"/>
        <w:jc w:val="both"/>
        <w:rPr>
          <w:rFonts w:ascii="Times New Roman" w:eastAsia="Times New Roman" w:hAnsi="Times New Roman" w:cs="Times New Roman"/>
          <w:b/>
        </w:rPr>
      </w:pPr>
    </w:p>
    <w:p w14:paraId="586F8854"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Temeljni financijski izvještaji sastavljeni su u skladu sa Hrvatskim standardima financijskog izvještavanja, koje je objavio Odbor za standarde financijskog izvješćivanja objavljenim u NN br. 86/15., propisanim kao okvirom financijskog izvještavanja  temeljem odredbi Zakona o računovodstvu NN 78/15,  </w:t>
      </w:r>
      <w:r w:rsidR="002235D2" w:rsidRPr="00F22DFE">
        <w:rPr>
          <w:rFonts w:ascii="Times New Roman" w:eastAsia="Times New Roman" w:hAnsi="Times New Roman" w:cs="Times New Roman"/>
        </w:rPr>
        <w:t>Uredba 134/15</w:t>
      </w:r>
      <w:r w:rsidR="002235D2">
        <w:rPr>
          <w:rFonts w:ascii="Times New Roman" w:eastAsia="Times New Roman" w:hAnsi="Times New Roman" w:cs="Times New Roman"/>
        </w:rPr>
        <w:t xml:space="preserve">, 120/16 i </w:t>
      </w:r>
      <w:r w:rsidRPr="00F22DFE">
        <w:rPr>
          <w:rFonts w:ascii="Times New Roman" w:eastAsia="Times New Roman" w:hAnsi="Times New Roman" w:cs="Times New Roman"/>
        </w:rPr>
        <w:t>116/18</w:t>
      </w:r>
      <w:r w:rsidR="002235D2">
        <w:rPr>
          <w:rFonts w:ascii="Times New Roman" w:eastAsia="Times New Roman" w:hAnsi="Times New Roman" w:cs="Times New Roman"/>
        </w:rPr>
        <w:t>.</w:t>
      </w:r>
    </w:p>
    <w:p w14:paraId="49CDDB47"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Financijski izvještaji </w:t>
      </w:r>
      <w:r w:rsidR="006801E2">
        <w:rPr>
          <w:rFonts w:ascii="Times New Roman" w:eastAsia="Times New Roman" w:hAnsi="Times New Roman" w:cs="Times New Roman"/>
        </w:rPr>
        <w:t>sastavljeni su u skladu s temeljnim računovodstvenim načelima: neograničenosti vremena poslovanja, nastanka poslovnog događaja, značajnosti, dosljednosti, usporedivosti, opreznosti i bilančnog kontinuiteta</w:t>
      </w:r>
      <w:r w:rsidRPr="00F22DFE">
        <w:rPr>
          <w:rFonts w:ascii="Times New Roman" w:eastAsia="Times New Roman" w:hAnsi="Times New Roman" w:cs="Times New Roman"/>
        </w:rPr>
        <w:t xml:space="preserve">. Detaljna objašnjenja priznavanja pojedinačnih pozicija dana su u sklopu pojedinačne pozicije. </w:t>
      </w:r>
    </w:p>
    <w:p w14:paraId="796207AF" w14:textId="77777777" w:rsidR="00131D13" w:rsidRPr="00F22DFE" w:rsidRDefault="00131D13" w:rsidP="00131D13">
      <w:pPr>
        <w:spacing w:after="0" w:line="240" w:lineRule="auto"/>
        <w:jc w:val="both"/>
        <w:rPr>
          <w:rFonts w:ascii="Times New Roman" w:eastAsia="Times New Roman" w:hAnsi="Times New Roman" w:cs="Times New Roman"/>
          <w:b/>
        </w:rPr>
      </w:pPr>
    </w:p>
    <w:p w14:paraId="40CDBD0F" w14:textId="77777777" w:rsidR="00131D13" w:rsidRPr="00F22DFE" w:rsidRDefault="00131D13" w:rsidP="00131D13">
      <w:pPr>
        <w:spacing w:after="0" w:line="240" w:lineRule="auto"/>
        <w:ind w:left="426"/>
        <w:jc w:val="both"/>
        <w:rPr>
          <w:rFonts w:ascii="Times New Roman" w:eastAsia="Times New Roman" w:hAnsi="Times New Roman" w:cs="Times New Roman"/>
          <w:b/>
        </w:rPr>
      </w:pPr>
      <w:r w:rsidRPr="00F22DFE">
        <w:rPr>
          <w:rFonts w:ascii="Times New Roman" w:eastAsia="Times New Roman" w:hAnsi="Times New Roman" w:cs="Times New Roman"/>
          <w:b/>
        </w:rPr>
        <w:t>1.2. Valuta prikazivanja</w:t>
      </w:r>
    </w:p>
    <w:p w14:paraId="2FDAC549" w14:textId="77777777" w:rsidR="00131D13" w:rsidRPr="00F22DFE" w:rsidRDefault="00131D13" w:rsidP="00131D13">
      <w:pPr>
        <w:spacing w:after="0" w:line="240" w:lineRule="auto"/>
        <w:jc w:val="both"/>
        <w:rPr>
          <w:rFonts w:ascii="Times New Roman" w:eastAsia="Times New Roman" w:hAnsi="Times New Roman" w:cs="Times New Roman"/>
          <w:b/>
        </w:rPr>
      </w:pPr>
    </w:p>
    <w:p w14:paraId="76CF5D61" w14:textId="47A08D4F"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Financijski izvještaji prezentirani su u hrvatskoj valuti kuni, koja je funkcionalna valuta. Srednji tečaj Hrvatske narodne banke primijenjen na dan 31. prosinca 20</w:t>
      </w:r>
      <w:r w:rsidR="00981512">
        <w:rPr>
          <w:rFonts w:ascii="Times New Roman" w:eastAsia="Times New Roman" w:hAnsi="Times New Roman" w:cs="Times New Roman"/>
        </w:rPr>
        <w:t>2</w:t>
      </w:r>
      <w:r w:rsidR="00E81CB2">
        <w:rPr>
          <w:rFonts w:ascii="Times New Roman" w:eastAsia="Times New Roman" w:hAnsi="Times New Roman" w:cs="Times New Roman"/>
        </w:rPr>
        <w:t>2</w:t>
      </w:r>
      <w:r w:rsidRPr="00F22DFE">
        <w:rPr>
          <w:rFonts w:ascii="Times New Roman" w:eastAsia="Times New Roman" w:hAnsi="Times New Roman" w:cs="Times New Roman"/>
        </w:rPr>
        <w:t>. godine iznosio je: 1 EUR = 7,</w:t>
      </w:r>
      <w:r w:rsidR="00981512">
        <w:rPr>
          <w:rFonts w:ascii="Times New Roman" w:eastAsia="Times New Roman" w:hAnsi="Times New Roman" w:cs="Times New Roman"/>
        </w:rPr>
        <w:t>53</w:t>
      </w:r>
      <w:r w:rsidRPr="00F22DFE">
        <w:rPr>
          <w:rFonts w:ascii="Times New Roman" w:eastAsia="Times New Roman" w:hAnsi="Times New Roman" w:cs="Times New Roman"/>
        </w:rPr>
        <w:t xml:space="preserve"> kuna, (31.12.20</w:t>
      </w:r>
      <w:r w:rsidR="001958C5">
        <w:rPr>
          <w:rFonts w:ascii="Times New Roman" w:eastAsia="Times New Roman" w:hAnsi="Times New Roman" w:cs="Times New Roman"/>
        </w:rPr>
        <w:t>2</w:t>
      </w:r>
      <w:r w:rsidR="00E81CB2">
        <w:rPr>
          <w:rFonts w:ascii="Times New Roman" w:eastAsia="Times New Roman" w:hAnsi="Times New Roman" w:cs="Times New Roman"/>
        </w:rPr>
        <w:t>1</w:t>
      </w:r>
      <w:r w:rsidRPr="00F22DFE">
        <w:rPr>
          <w:rFonts w:ascii="Times New Roman" w:eastAsia="Times New Roman" w:hAnsi="Times New Roman" w:cs="Times New Roman"/>
        </w:rPr>
        <w:t>. godini: 1 EUR = 7,</w:t>
      </w:r>
      <w:r w:rsidR="001958C5">
        <w:rPr>
          <w:rFonts w:ascii="Times New Roman" w:eastAsia="Times New Roman" w:hAnsi="Times New Roman" w:cs="Times New Roman"/>
        </w:rPr>
        <w:t>5</w:t>
      </w:r>
      <w:r w:rsidR="00E81CB2">
        <w:rPr>
          <w:rFonts w:ascii="Times New Roman" w:eastAsia="Times New Roman" w:hAnsi="Times New Roman" w:cs="Times New Roman"/>
        </w:rPr>
        <w:t>36898</w:t>
      </w:r>
      <w:r w:rsidR="00981512">
        <w:rPr>
          <w:rFonts w:ascii="Times New Roman" w:eastAsia="Times New Roman" w:hAnsi="Times New Roman" w:cs="Times New Roman"/>
        </w:rPr>
        <w:t xml:space="preserve"> </w:t>
      </w:r>
      <w:r w:rsidRPr="00F22DFE">
        <w:rPr>
          <w:rFonts w:ascii="Times New Roman" w:eastAsia="Times New Roman" w:hAnsi="Times New Roman" w:cs="Times New Roman"/>
        </w:rPr>
        <w:t>kuna).</w:t>
      </w:r>
    </w:p>
    <w:p w14:paraId="0C3E469B" w14:textId="77777777" w:rsidR="00131D13" w:rsidRPr="00F22DFE" w:rsidRDefault="00131D13" w:rsidP="00131D13">
      <w:pPr>
        <w:spacing w:after="0" w:line="240" w:lineRule="auto"/>
        <w:jc w:val="both"/>
        <w:rPr>
          <w:rFonts w:ascii="Times New Roman" w:eastAsia="Times New Roman" w:hAnsi="Times New Roman" w:cs="Times New Roman"/>
        </w:rPr>
      </w:pPr>
    </w:p>
    <w:p w14:paraId="4C275F3B" w14:textId="77777777" w:rsidR="00131D13" w:rsidRPr="00F22DFE" w:rsidRDefault="00131D13" w:rsidP="00131D13">
      <w:pPr>
        <w:spacing w:after="0" w:line="240" w:lineRule="auto"/>
        <w:ind w:firstLine="426"/>
        <w:jc w:val="both"/>
        <w:rPr>
          <w:rFonts w:ascii="Times New Roman" w:eastAsia="Times New Roman" w:hAnsi="Times New Roman" w:cs="Times New Roman"/>
        </w:rPr>
      </w:pPr>
      <w:r w:rsidRPr="00F22DFE">
        <w:rPr>
          <w:rFonts w:ascii="Times New Roman" w:eastAsia="Times New Roman" w:hAnsi="Times New Roman" w:cs="Times New Roman"/>
          <w:b/>
        </w:rPr>
        <w:t xml:space="preserve">1.3. Transakcije u inozemnim valutama </w:t>
      </w:r>
    </w:p>
    <w:p w14:paraId="1D7D39BF" w14:textId="77777777" w:rsidR="00131D13" w:rsidRPr="00F22DFE" w:rsidRDefault="00131D13" w:rsidP="00131D13">
      <w:pPr>
        <w:spacing w:after="0" w:line="240" w:lineRule="auto"/>
        <w:jc w:val="both"/>
        <w:rPr>
          <w:rFonts w:ascii="Times New Roman" w:eastAsia="Times New Roman" w:hAnsi="Times New Roman" w:cs="Times New Roman"/>
        </w:rPr>
      </w:pPr>
    </w:p>
    <w:p w14:paraId="681D09A9"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Sve transakcije u inozemnim valutama preračunate su u kune po tečajnoj listi važećoj na dan transakcije. Aktiva i pasiva doznačene u inozemnim valutama su preračunate u kune po srednjem tečaju Hrvatske narodne banke važećim na dan Bilance. Dobici ili gubici po tečajnim razlikama priznaju se u računu dobiti i gubitka.</w:t>
      </w:r>
    </w:p>
    <w:p w14:paraId="3D0877DB" w14:textId="77777777"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ab/>
      </w:r>
    </w:p>
    <w:p w14:paraId="08EACFC6" w14:textId="77777777" w:rsidR="00131D13" w:rsidRPr="00F22DFE" w:rsidRDefault="00131D13" w:rsidP="00131D13">
      <w:pPr>
        <w:spacing w:after="0" w:line="240" w:lineRule="auto"/>
        <w:ind w:left="426"/>
        <w:jc w:val="both"/>
        <w:rPr>
          <w:rFonts w:ascii="Times New Roman" w:eastAsia="Times New Roman" w:hAnsi="Times New Roman" w:cs="Times New Roman"/>
          <w:b/>
        </w:rPr>
      </w:pPr>
    </w:p>
    <w:p w14:paraId="33318FC9" w14:textId="77777777" w:rsidR="00131D13" w:rsidRPr="00F22DFE" w:rsidRDefault="00131D13" w:rsidP="00131D13">
      <w:pPr>
        <w:spacing w:after="0" w:line="240" w:lineRule="auto"/>
        <w:jc w:val="both"/>
        <w:rPr>
          <w:rFonts w:ascii="Times New Roman" w:eastAsia="Times New Roman" w:hAnsi="Times New Roman" w:cs="Times New Roman"/>
          <w:b/>
        </w:rPr>
      </w:pPr>
      <w:r w:rsidRPr="00F22DFE">
        <w:rPr>
          <w:rFonts w:ascii="Times New Roman" w:eastAsia="Times New Roman" w:hAnsi="Times New Roman" w:cs="Times New Roman"/>
          <w:b/>
        </w:rPr>
        <w:t xml:space="preserve">Bilješka 2. </w:t>
      </w:r>
      <w:r w:rsidRPr="00F22DFE">
        <w:rPr>
          <w:rFonts w:ascii="Times New Roman" w:eastAsia="Times New Roman" w:hAnsi="Times New Roman" w:cs="Times New Roman"/>
          <w:b/>
        </w:rPr>
        <w:tab/>
        <w:t>Sažetak osnovnih računovodstvenih politika</w:t>
      </w:r>
    </w:p>
    <w:p w14:paraId="0F65D5FC" w14:textId="77777777" w:rsidR="00131D13" w:rsidRPr="00F22DFE" w:rsidRDefault="00131D13" w:rsidP="00131D13">
      <w:pPr>
        <w:spacing w:after="0" w:line="240" w:lineRule="auto"/>
        <w:jc w:val="both"/>
        <w:rPr>
          <w:rFonts w:ascii="Times New Roman" w:eastAsia="Times New Roman" w:hAnsi="Times New Roman" w:cs="Times New Roman"/>
        </w:rPr>
      </w:pPr>
    </w:p>
    <w:p w14:paraId="50CECE5B" w14:textId="5A1741D3"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Temeljne računovodstvene politike primijenjene kod sastavljanja financijskih izvještaja za 20</w:t>
      </w:r>
      <w:r w:rsidR="00981512">
        <w:rPr>
          <w:rFonts w:ascii="Times New Roman" w:eastAsia="Times New Roman" w:hAnsi="Times New Roman" w:cs="Times New Roman"/>
        </w:rPr>
        <w:t>2</w:t>
      </w:r>
      <w:r w:rsidR="00DE35C7">
        <w:rPr>
          <w:rFonts w:ascii="Times New Roman" w:eastAsia="Times New Roman" w:hAnsi="Times New Roman" w:cs="Times New Roman"/>
        </w:rPr>
        <w:t>1</w:t>
      </w:r>
      <w:r w:rsidRPr="00F22DFE">
        <w:rPr>
          <w:rFonts w:ascii="Times New Roman" w:eastAsia="Times New Roman" w:hAnsi="Times New Roman" w:cs="Times New Roman"/>
        </w:rPr>
        <w:t>. godinu bile su sljedeće:</w:t>
      </w:r>
    </w:p>
    <w:p w14:paraId="28CF6089" w14:textId="77777777" w:rsidR="00131D13" w:rsidRPr="00F22DFE" w:rsidRDefault="00131D13" w:rsidP="00131D13">
      <w:pPr>
        <w:spacing w:after="0" w:line="240" w:lineRule="auto"/>
        <w:rPr>
          <w:rFonts w:ascii="Times New Roman" w:eastAsia="Times New Roman" w:hAnsi="Times New Roman" w:cs="Times New Roman"/>
        </w:rPr>
      </w:pPr>
    </w:p>
    <w:p w14:paraId="36B73BB1"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2.1. </w:t>
      </w:r>
      <w:r w:rsidRPr="00F22DFE">
        <w:rPr>
          <w:rFonts w:ascii="Times New Roman" w:eastAsia="Times New Roman" w:hAnsi="Times New Roman" w:cs="Times New Roman"/>
          <w:b/>
        </w:rPr>
        <w:tab/>
        <w:t xml:space="preserve">Poslovni prihodi </w:t>
      </w:r>
    </w:p>
    <w:p w14:paraId="2E79B990" w14:textId="77777777" w:rsidR="00131D13" w:rsidRPr="00F22DFE" w:rsidRDefault="00131D13" w:rsidP="00131D13">
      <w:pPr>
        <w:spacing w:after="0" w:line="240" w:lineRule="auto"/>
        <w:rPr>
          <w:rFonts w:ascii="Times New Roman" w:eastAsia="Times New Roman" w:hAnsi="Times New Roman" w:cs="Times New Roman"/>
        </w:rPr>
      </w:pPr>
    </w:p>
    <w:p w14:paraId="0ED08F00"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Prihodi od prodaje priznaju se u računu dobiti i gubitka kada su značajni rizici i koristi od vlasništva prešli na kupca. Porezi, diskonti i količinski popusti se isključuju iz prihoda.</w:t>
      </w:r>
    </w:p>
    <w:p w14:paraId="720AA3A0" w14:textId="77777777" w:rsidR="00131D13" w:rsidRPr="00F22DFE" w:rsidRDefault="00131D13" w:rsidP="00131D13">
      <w:pPr>
        <w:keepNext/>
        <w:spacing w:after="0" w:line="240" w:lineRule="auto"/>
        <w:ind w:left="360" w:hanging="360"/>
        <w:jc w:val="right"/>
        <w:outlineLvl w:val="1"/>
        <w:rPr>
          <w:rFonts w:ascii="Times New Roman" w:eastAsia="Times New Roman" w:hAnsi="Times New Roman" w:cs="Times New Roman"/>
          <w:bCs/>
        </w:rPr>
      </w:pPr>
    </w:p>
    <w:p w14:paraId="1D342CE9"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2.2. </w:t>
      </w:r>
      <w:r w:rsidRPr="00F22DFE">
        <w:rPr>
          <w:rFonts w:ascii="Times New Roman" w:eastAsia="Times New Roman" w:hAnsi="Times New Roman" w:cs="Times New Roman"/>
          <w:b/>
        </w:rPr>
        <w:tab/>
        <w:t xml:space="preserve">Troškovi prodane robe </w:t>
      </w:r>
    </w:p>
    <w:p w14:paraId="75AB9CD1" w14:textId="77777777" w:rsidR="00131D13" w:rsidRPr="00F22DFE" w:rsidRDefault="00131D13" w:rsidP="00131D13">
      <w:pPr>
        <w:spacing w:after="0" w:line="240" w:lineRule="auto"/>
        <w:rPr>
          <w:rFonts w:ascii="Times New Roman" w:eastAsia="Times New Roman" w:hAnsi="Times New Roman" w:cs="Times New Roman"/>
        </w:rPr>
      </w:pPr>
    </w:p>
    <w:p w14:paraId="53ABE447" w14:textId="77777777" w:rsidR="00131D13" w:rsidRPr="00F22DFE" w:rsidRDefault="00131D13" w:rsidP="00131D13">
      <w:pPr>
        <w:spacing w:after="120" w:line="240" w:lineRule="auto"/>
        <w:jc w:val="both"/>
        <w:rPr>
          <w:rFonts w:ascii="Times New Roman" w:eastAsia="Times New Roman" w:hAnsi="Times New Roman" w:cs="Times New Roman"/>
          <w:lang w:eastAsia="hr-HR"/>
        </w:rPr>
      </w:pPr>
      <w:r w:rsidRPr="00F22DFE">
        <w:rPr>
          <w:rFonts w:ascii="Times New Roman" w:eastAsia="Times New Roman" w:hAnsi="Times New Roman" w:cs="Times New Roman"/>
          <w:lang w:eastAsia="hr-HR"/>
        </w:rPr>
        <w:t xml:space="preserve">Troškove prodane robe čini kupovna cijena prema fakturi dobavljača umanjena za popuste, rabate (neto fakturna cijena) i to isključivo one koji su iskazani u fakturi dobavljača. Ostali troškovi kupnje (zavisni troškovi) jesu troškovi prijevoza, ukrcaja i istovara robe, carine i druge uvozne pristojbe i svi drugi troškovi koji se izravno mogu pripisati nabavci. </w:t>
      </w:r>
    </w:p>
    <w:p w14:paraId="0461566E" w14:textId="77777777" w:rsidR="00131D13" w:rsidRPr="00F22DFE" w:rsidRDefault="00131D13" w:rsidP="00131D13">
      <w:pPr>
        <w:spacing w:after="120" w:line="240" w:lineRule="auto"/>
        <w:jc w:val="both"/>
        <w:rPr>
          <w:rFonts w:ascii="Times New Roman" w:eastAsia="Times New Roman" w:hAnsi="Times New Roman" w:cs="Times New Roman"/>
          <w:lang w:eastAsia="hr-HR"/>
        </w:rPr>
      </w:pPr>
      <w:r w:rsidRPr="00F22DFE">
        <w:rPr>
          <w:rFonts w:ascii="Times New Roman" w:eastAsia="Times New Roman" w:hAnsi="Times New Roman" w:cs="Times New Roman"/>
          <w:lang w:eastAsia="hr-HR"/>
        </w:rPr>
        <w:t>Nabavna vrijednost prodane robe predstavlja troškove nabave robe u odnosu na fakturiranu realizaciju.</w:t>
      </w:r>
    </w:p>
    <w:p w14:paraId="253D7D40"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2.3. </w:t>
      </w:r>
      <w:r w:rsidRPr="00F22DFE">
        <w:rPr>
          <w:rFonts w:ascii="Times New Roman" w:eastAsia="Times New Roman" w:hAnsi="Times New Roman" w:cs="Times New Roman"/>
          <w:b/>
        </w:rPr>
        <w:tab/>
        <w:t xml:space="preserve">Troškovi razdoblja  </w:t>
      </w:r>
    </w:p>
    <w:p w14:paraId="42FAB812" w14:textId="77777777" w:rsidR="00131D13" w:rsidRPr="00F22DFE" w:rsidRDefault="00131D13" w:rsidP="00131D13">
      <w:pPr>
        <w:spacing w:after="0" w:line="240" w:lineRule="auto"/>
        <w:rPr>
          <w:rFonts w:ascii="Times New Roman" w:eastAsia="Times New Roman" w:hAnsi="Times New Roman" w:cs="Times New Roman"/>
        </w:rPr>
      </w:pPr>
    </w:p>
    <w:p w14:paraId="277470BE"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Troškovi razdoblja su rashodi obračunskog razdoblja koji se nadoknađuju iz prihoda razdoblja u kojem su nastali. </w:t>
      </w:r>
    </w:p>
    <w:p w14:paraId="3915F992" w14:textId="77777777" w:rsidR="00131D13" w:rsidRPr="00F22DFE" w:rsidRDefault="00131D13" w:rsidP="00131D13">
      <w:pPr>
        <w:spacing w:after="0" w:line="240" w:lineRule="auto"/>
        <w:jc w:val="both"/>
        <w:rPr>
          <w:rFonts w:ascii="Times New Roman" w:eastAsia="Times New Roman" w:hAnsi="Times New Roman" w:cs="Times New Roman"/>
        </w:rPr>
      </w:pPr>
    </w:p>
    <w:p w14:paraId="1B1439FF" w14:textId="77777777" w:rsidR="00131D13" w:rsidRPr="00F22DFE" w:rsidRDefault="00131D13" w:rsidP="00131D13">
      <w:pPr>
        <w:spacing w:after="0" w:line="240" w:lineRule="auto"/>
        <w:jc w:val="both"/>
        <w:rPr>
          <w:rFonts w:ascii="Times New Roman" w:eastAsia="Times New Roman" w:hAnsi="Times New Roman" w:cs="Times New Roman"/>
        </w:rPr>
      </w:pPr>
    </w:p>
    <w:p w14:paraId="450818C6" w14:textId="77777777" w:rsidR="00131D13" w:rsidRPr="00F22DFE" w:rsidRDefault="00131D13" w:rsidP="00131D13">
      <w:pPr>
        <w:spacing w:after="0" w:line="240" w:lineRule="auto"/>
        <w:jc w:val="right"/>
        <w:rPr>
          <w:rFonts w:ascii="Times New Roman" w:eastAsia="Times New Roman" w:hAnsi="Times New Roman" w:cs="Times New Roman"/>
        </w:rPr>
      </w:pPr>
    </w:p>
    <w:p w14:paraId="62AB3E5E" w14:textId="7A9C3854" w:rsidR="00131D13" w:rsidRPr="00F22DFE" w:rsidRDefault="00F5210A" w:rsidP="00131D1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p w14:paraId="5E847F34"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p>
    <w:p w14:paraId="1C10CCAD"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2.4. </w:t>
      </w:r>
      <w:r w:rsidRPr="00F22DFE">
        <w:rPr>
          <w:rFonts w:ascii="Times New Roman" w:eastAsia="Times New Roman" w:hAnsi="Times New Roman" w:cs="Times New Roman"/>
          <w:b/>
        </w:rPr>
        <w:tab/>
        <w:t xml:space="preserve">Troškovi sirovina i materijala  </w:t>
      </w:r>
    </w:p>
    <w:p w14:paraId="4B88DA12" w14:textId="77777777" w:rsidR="00131D13" w:rsidRPr="00F22DFE" w:rsidRDefault="00131D13" w:rsidP="00131D13">
      <w:pPr>
        <w:spacing w:after="0" w:line="240" w:lineRule="auto"/>
        <w:rPr>
          <w:rFonts w:ascii="Times New Roman" w:eastAsia="Times New Roman" w:hAnsi="Times New Roman" w:cs="Times New Roman"/>
        </w:rPr>
      </w:pPr>
    </w:p>
    <w:p w14:paraId="5C22BA7B"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Obračun utroška sirovine i materijala, rezervnih dijelova izveden je primjenom prosječno  ponderirane NC. </w:t>
      </w:r>
    </w:p>
    <w:p w14:paraId="3B58E7A3" w14:textId="77777777" w:rsidR="00131D13" w:rsidRPr="00F22DFE" w:rsidRDefault="00131D13" w:rsidP="00131D13">
      <w:pPr>
        <w:spacing w:after="0" w:line="240" w:lineRule="auto"/>
        <w:jc w:val="both"/>
        <w:rPr>
          <w:rFonts w:ascii="Times New Roman" w:eastAsia="Times New Roman" w:hAnsi="Times New Roman" w:cs="Times New Roman"/>
          <w:u w:val="single"/>
        </w:rPr>
      </w:pPr>
    </w:p>
    <w:p w14:paraId="5CBB21B8" w14:textId="77777777" w:rsidR="00131D13" w:rsidRPr="00F22DFE" w:rsidRDefault="00131D13" w:rsidP="00131D13">
      <w:pPr>
        <w:spacing w:after="0" w:line="240" w:lineRule="auto"/>
        <w:jc w:val="both"/>
        <w:rPr>
          <w:rFonts w:ascii="Times New Roman" w:eastAsia="Times New Roman" w:hAnsi="Times New Roman" w:cs="Times New Roman"/>
          <w:b/>
        </w:rPr>
      </w:pPr>
      <w:r w:rsidRPr="00F22DFE">
        <w:rPr>
          <w:rFonts w:ascii="Times New Roman" w:eastAsia="Times New Roman" w:hAnsi="Times New Roman" w:cs="Times New Roman"/>
          <w:b/>
        </w:rPr>
        <w:t xml:space="preserve">2.5. </w:t>
      </w:r>
      <w:r w:rsidRPr="00F22DFE">
        <w:rPr>
          <w:rFonts w:ascii="Times New Roman" w:eastAsia="Times New Roman" w:hAnsi="Times New Roman" w:cs="Times New Roman"/>
          <w:b/>
        </w:rPr>
        <w:tab/>
        <w:t>Financijski prihodi i rashodi</w:t>
      </w:r>
    </w:p>
    <w:p w14:paraId="120970F4" w14:textId="77777777" w:rsidR="00131D13" w:rsidRPr="00F22DFE" w:rsidRDefault="00131D13" w:rsidP="00131D13">
      <w:pPr>
        <w:spacing w:after="0" w:line="240" w:lineRule="auto"/>
        <w:jc w:val="both"/>
        <w:rPr>
          <w:rFonts w:ascii="Times New Roman" w:eastAsia="Times New Roman" w:hAnsi="Times New Roman" w:cs="Times New Roman"/>
          <w:b/>
        </w:rPr>
      </w:pPr>
    </w:p>
    <w:p w14:paraId="0F3F03B4"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Financijski prihod sastoji se od prihoda od kamata na investirana sredstva, dobiti od prodaje financijske imovine namijenjene prodaji te od dobitaka od tečajnih razlika.</w:t>
      </w:r>
    </w:p>
    <w:p w14:paraId="7F7DD9AB"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Financijski rashodi sastoji se od troška obračunatih kamata na kredite i zajmove, gubitaka od tečajnih razlika te od gubitaka od umanjenja i otuđenja financijske imovine.</w:t>
      </w:r>
    </w:p>
    <w:p w14:paraId="1A1467B0"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U računu dobiti i gubitka iskazuju se kao financijski prihodi/rashodi –neto.</w:t>
      </w:r>
    </w:p>
    <w:p w14:paraId="1BDA9A70" w14:textId="77777777" w:rsidR="00131D13" w:rsidRPr="00F22DFE" w:rsidRDefault="00131D13" w:rsidP="00131D13">
      <w:pPr>
        <w:spacing w:after="0" w:line="240" w:lineRule="auto"/>
        <w:jc w:val="both"/>
        <w:rPr>
          <w:rFonts w:ascii="Times New Roman" w:eastAsia="Times New Roman" w:hAnsi="Times New Roman" w:cs="Times New Roman"/>
          <w:iCs/>
        </w:rPr>
      </w:pPr>
    </w:p>
    <w:p w14:paraId="2C6389D0" w14:textId="77777777" w:rsidR="00131D13" w:rsidRPr="00F22DFE" w:rsidRDefault="00131D13" w:rsidP="00131D13">
      <w:pPr>
        <w:spacing w:after="0" w:line="240" w:lineRule="auto"/>
        <w:rPr>
          <w:rFonts w:ascii="Times New Roman" w:eastAsia="Times New Roman" w:hAnsi="Times New Roman" w:cs="Times New Roman"/>
          <w:b/>
        </w:rPr>
      </w:pPr>
      <w:r w:rsidRPr="00F22DFE">
        <w:rPr>
          <w:rFonts w:ascii="Times New Roman" w:eastAsia="Times New Roman" w:hAnsi="Times New Roman" w:cs="Times New Roman"/>
          <w:b/>
        </w:rPr>
        <w:t xml:space="preserve">2.6. </w:t>
      </w:r>
      <w:r w:rsidRPr="00F22DFE">
        <w:rPr>
          <w:rFonts w:ascii="Times New Roman" w:eastAsia="Times New Roman" w:hAnsi="Times New Roman" w:cs="Times New Roman"/>
          <w:b/>
        </w:rPr>
        <w:tab/>
        <w:t>Porez na dobit</w:t>
      </w:r>
    </w:p>
    <w:p w14:paraId="01AAC336" w14:textId="77777777" w:rsidR="00131D13" w:rsidRPr="00F22DFE" w:rsidRDefault="00131D13" w:rsidP="00131D13">
      <w:pPr>
        <w:spacing w:after="0" w:line="240" w:lineRule="auto"/>
        <w:jc w:val="both"/>
        <w:rPr>
          <w:rFonts w:ascii="Times New Roman" w:eastAsia="Times New Roman" w:hAnsi="Times New Roman" w:cs="Times New Roman"/>
        </w:rPr>
      </w:pPr>
    </w:p>
    <w:p w14:paraId="0F0FAF82"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Obračun poreza na dobit zasniva se na obračunu dobiti za tu godinu i usklađuje se za stalne i povremene razlike između oporezive i računovodstvene dobiti.</w:t>
      </w:r>
    </w:p>
    <w:p w14:paraId="67CCCD3E"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Obračun poreza na dobit vrši se u skladu s hrvatskim poreznim propisima. Odgođeni porezi obračunavaju se korištenjem metode obveza za sve privremene razlike na dan iskazivanja bilance zbog vremenskih razlika priznavanja prihoda i rashoda čije se uključivanje u oporezivu dobit ne poklapa s uključivanjem u poreznu dobit u okviru financijskih izvješća. Odgođeni porezi obračunavaju se po poreznoj stopi koja je primjenjiva u godinama u kojima se očekuje da će se privremene razlike nadoknaditi.</w:t>
      </w:r>
    </w:p>
    <w:p w14:paraId="36EAAB26"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Odgođeno porezno sredstvo priznaje se kad je vjerojatno da će se ostvariti dovoljno oporezive dobiti na teret koje se ono može iskoristiti. Tekući porez i odgođeni porez terete se ili odobravaju direktno u kapitalu ako se porez odnosi direktno na stavke koje su odobrene ili terećene, u istom ili različitom razdoblju, direktno na kapital.</w:t>
      </w:r>
    </w:p>
    <w:p w14:paraId="63B4B2A9"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Na dan bilance ponovno se procjenjuje nepriznata porezna sredstva te prikladnost sadašnje vrijednosti poreznih sredstava.</w:t>
      </w:r>
    </w:p>
    <w:p w14:paraId="2636DFC7" w14:textId="77777777" w:rsidR="00131D13" w:rsidRPr="00F22DFE" w:rsidRDefault="00131D13" w:rsidP="00131D13">
      <w:pPr>
        <w:spacing w:after="0" w:line="240" w:lineRule="auto"/>
        <w:jc w:val="both"/>
        <w:rPr>
          <w:rFonts w:ascii="Times New Roman" w:eastAsia="Times New Roman" w:hAnsi="Times New Roman" w:cs="Times New Roman"/>
          <w:b/>
          <w:bCs/>
        </w:rPr>
      </w:pPr>
    </w:p>
    <w:p w14:paraId="22339BBA" w14:textId="77777777" w:rsidR="00131D13" w:rsidRPr="00F22DFE" w:rsidRDefault="00131D13" w:rsidP="00131D13">
      <w:pPr>
        <w:spacing w:after="0" w:line="240" w:lineRule="auto"/>
        <w:jc w:val="both"/>
        <w:rPr>
          <w:rFonts w:ascii="Times New Roman" w:eastAsia="Times New Roman" w:hAnsi="Times New Roman" w:cs="Times New Roman"/>
          <w:b/>
          <w:bCs/>
        </w:rPr>
      </w:pPr>
      <w:r w:rsidRPr="00F22DFE">
        <w:rPr>
          <w:rFonts w:ascii="Times New Roman" w:eastAsia="Times New Roman" w:hAnsi="Times New Roman" w:cs="Times New Roman"/>
          <w:b/>
          <w:bCs/>
        </w:rPr>
        <w:t>2.7.</w:t>
      </w:r>
      <w:r w:rsidRPr="00F22DFE">
        <w:rPr>
          <w:rFonts w:ascii="Times New Roman" w:eastAsia="Times New Roman" w:hAnsi="Times New Roman" w:cs="Times New Roman"/>
          <w:b/>
          <w:bCs/>
        </w:rPr>
        <w:tab/>
        <w:t>Kapital</w:t>
      </w:r>
    </w:p>
    <w:p w14:paraId="30E9FE85" w14:textId="77777777" w:rsidR="00131D13" w:rsidRPr="00F22DFE" w:rsidRDefault="00131D13" w:rsidP="00131D13">
      <w:pPr>
        <w:spacing w:after="0" w:line="240" w:lineRule="auto"/>
        <w:jc w:val="both"/>
        <w:rPr>
          <w:rFonts w:ascii="Times New Roman" w:eastAsia="Times New Roman" w:hAnsi="Times New Roman" w:cs="Times New Roman"/>
          <w:b/>
          <w:bCs/>
        </w:rPr>
      </w:pPr>
    </w:p>
    <w:p w14:paraId="1BD606E4"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Upisani kapital iskazuje se u svoti koja je upisana u sudski registar prilikom osnivanja, odnosno promjene upisa vrijednosti kapitala u trgovačkom registru.</w:t>
      </w:r>
    </w:p>
    <w:p w14:paraId="7CD312BF" w14:textId="77777777" w:rsidR="00131D13" w:rsidRPr="00F22DFE" w:rsidRDefault="00131D13" w:rsidP="00131D13">
      <w:pPr>
        <w:spacing w:after="0" w:line="240" w:lineRule="auto"/>
        <w:jc w:val="both"/>
        <w:rPr>
          <w:rFonts w:ascii="Times New Roman" w:eastAsia="Times New Roman" w:hAnsi="Times New Roman" w:cs="Times New Roman"/>
        </w:rPr>
      </w:pPr>
    </w:p>
    <w:p w14:paraId="488312E3" w14:textId="77777777" w:rsidR="00131D13" w:rsidRPr="00F22DFE" w:rsidRDefault="00131D13" w:rsidP="00131D13">
      <w:pPr>
        <w:spacing w:after="0" w:line="240" w:lineRule="auto"/>
        <w:jc w:val="both"/>
        <w:rPr>
          <w:rFonts w:ascii="Times New Roman" w:eastAsia="Times New Roman" w:hAnsi="Times New Roman" w:cs="Times New Roman"/>
          <w:b/>
          <w:bCs/>
        </w:rPr>
      </w:pPr>
      <w:r w:rsidRPr="00F22DFE">
        <w:rPr>
          <w:rFonts w:ascii="Times New Roman" w:eastAsia="Times New Roman" w:hAnsi="Times New Roman" w:cs="Times New Roman"/>
          <w:b/>
          <w:bCs/>
        </w:rPr>
        <w:t>2.8.</w:t>
      </w:r>
      <w:r w:rsidRPr="00F22DFE">
        <w:rPr>
          <w:rFonts w:ascii="Times New Roman" w:eastAsia="Times New Roman" w:hAnsi="Times New Roman" w:cs="Times New Roman"/>
          <w:b/>
          <w:bCs/>
        </w:rPr>
        <w:tab/>
        <w:t>Rezerviranja</w:t>
      </w:r>
    </w:p>
    <w:p w14:paraId="67785EB6" w14:textId="77777777" w:rsidR="00131D13" w:rsidRPr="00F22DFE" w:rsidRDefault="00131D13" w:rsidP="00131D13">
      <w:pPr>
        <w:spacing w:after="0" w:line="240" w:lineRule="auto"/>
        <w:jc w:val="both"/>
        <w:rPr>
          <w:rFonts w:ascii="Times New Roman" w:eastAsia="Times New Roman" w:hAnsi="Times New Roman" w:cs="Times New Roman"/>
          <w:b/>
          <w:bCs/>
        </w:rPr>
      </w:pPr>
    </w:p>
    <w:p w14:paraId="0FD65A91"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Rezerviranja se priznaju ako društvo ima sadašnju zakonsku ili izvedenu obvezu kao posljedicu prošlog događaja, ako je vjerojatno da će biti potreban odljev resursa radi podmirivanja obveze te ako se iznos obveze može pouzdano procijeniti.</w:t>
      </w:r>
    </w:p>
    <w:p w14:paraId="2D5D161D" w14:textId="77777777" w:rsidR="00131D13" w:rsidRPr="00F22DFE" w:rsidRDefault="00131D13" w:rsidP="00131D13">
      <w:pPr>
        <w:spacing w:after="0" w:line="240" w:lineRule="auto"/>
        <w:jc w:val="right"/>
        <w:rPr>
          <w:rFonts w:ascii="Times New Roman" w:eastAsia="Times New Roman" w:hAnsi="Times New Roman" w:cs="Times New Roman"/>
          <w:bCs/>
        </w:rPr>
      </w:pPr>
    </w:p>
    <w:p w14:paraId="67261B2B" w14:textId="77777777" w:rsidR="00131D13" w:rsidRPr="00F22DFE" w:rsidRDefault="00131D13" w:rsidP="00131D13">
      <w:pPr>
        <w:spacing w:after="0" w:line="240" w:lineRule="auto"/>
        <w:jc w:val="both"/>
        <w:rPr>
          <w:rFonts w:ascii="Times New Roman" w:eastAsia="Times New Roman" w:hAnsi="Times New Roman" w:cs="Times New Roman"/>
          <w:b/>
        </w:rPr>
      </w:pPr>
      <w:r w:rsidRPr="00F22DFE">
        <w:rPr>
          <w:rFonts w:ascii="Times New Roman" w:eastAsia="Times New Roman" w:hAnsi="Times New Roman" w:cs="Times New Roman"/>
          <w:b/>
        </w:rPr>
        <w:t xml:space="preserve">2.9. </w:t>
      </w:r>
      <w:r w:rsidRPr="00F22DFE">
        <w:rPr>
          <w:rFonts w:ascii="Times New Roman" w:eastAsia="Times New Roman" w:hAnsi="Times New Roman" w:cs="Times New Roman"/>
          <w:b/>
        </w:rPr>
        <w:tab/>
        <w:t>Nematerijalna imovina</w:t>
      </w:r>
    </w:p>
    <w:p w14:paraId="3BED2926" w14:textId="77777777" w:rsidR="00131D13" w:rsidRPr="00F22DFE" w:rsidRDefault="00131D13" w:rsidP="00131D13">
      <w:pPr>
        <w:spacing w:after="0" w:line="240" w:lineRule="auto"/>
        <w:jc w:val="both"/>
        <w:rPr>
          <w:rFonts w:ascii="Times New Roman" w:eastAsia="Times New Roman" w:hAnsi="Times New Roman" w:cs="Times New Roman"/>
        </w:rPr>
      </w:pPr>
    </w:p>
    <w:p w14:paraId="14505932"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Nematerijalna imovina uključuje softver, </w:t>
      </w:r>
      <w:r w:rsidR="00BB29DA">
        <w:rPr>
          <w:rFonts w:ascii="Times New Roman" w:eastAsia="Times New Roman" w:hAnsi="Times New Roman" w:cs="Times New Roman"/>
        </w:rPr>
        <w:t>licence</w:t>
      </w:r>
      <w:r w:rsidRPr="00F22DFE">
        <w:rPr>
          <w:rFonts w:ascii="Times New Roman" w:eastAsia="Times New Roman" w:hAnsi="Times New Roman" w:cs="Times New Roman"/>
        </w:rPr>
        <w:t xml:space="preserve"> i ulaganja na tuđoj imovini i inicijalno se iskazuje po trošku nabave te naknadno po trošku nabave umanjenom za ispravak vrijednosti i umanjenje vrijednosti. Amortizacija je prikazana u računu dobiti i gubitka, te se izračunava linearnom metodom tijekom očekivanog vijeka uporabe. </w:t>
      </w:r>
    </w:p>
    <w:p w14:paraId="697A8417" w14:textId="77777777" w:rsidR="00131D13" w:rsidRPr="00F22DFE" w:rsidRDefault="00131D13" w:rsidP="00131D13">
      <w:pPr>
        <w:spacing w:after="0" w:line="240" w:lineRule="auto"/>
        <w:jc w:val="both"/>
        <w:rPr>
          <w:rFonts w:ascii="Times New Roman" w:eastAsia="Times New Roman" w:hAnsi="Times New Roman" w:cs="Times New Roman"/>
        </w:rPr>
      </w:pPr>
    </w:p>
    <w:p w14:paraId="57CB55E8" w14:textId="77777777" w:rsidR="00131D13" w:rsidRPr="00F22DFE" w:rsidRDefault="00131D13" w:rsidP="00131D13">
      <w:pPr>
        <w:spacing w:after="0" w:line="240" w:lineRule="auto"/>
        <w:jc w:val="right"/>
        <w:rPr>
          <w:rFonts w:ascii="Times New Roman" w:eastAsia="Times New Roman" w:hAnsi="Times New Roman" w:cs="Times New Roman"/>
        </w:rPr>
      </w:pPr>
    </w:p>
    <w:p w14:paraId="2EAB9C0B" w14:textId="77777777" w:rsidR="00131D13" w:rsidRDefault="00131D13" w:rsidP="00131D13">
      <w:pPr>
        <w:spacing w:after="0" w:line="240" w:lineRule="auto"/>
        <w:jc w:val="right"/>
        <w:rPr>
          <w:rFonts w:ascii="Times New Roman" w:eastAsia="Times New Roman" w:hAnsi="Times New Roman" w:cs="Times New Roman"/>
        </w:rPr>
      </w:pPr>
    </w:p>
    <w:p w14:paraId="086CD295" w14:textId="77777777" w:rsidR="0013432E" w:rsidRDefault="0013432E" w:rsidP="00131D13">
      <w:pPr>
        <w:spacing w:after="0" w:line="240" w:lineRule="auto"/>
        <w:jc w:val="right"/>
        <w:rPr>
          <w:rFonts w:ascii="Times New Roman" w:eastAsia="Times New Roman" w:hAnsi="Times New Roman" w:cs="Times New Roman"/>
        </w:rPr>
      </w:pPr>
    </w:p>
    <w:p w14:paraId="1093A833" w14:textId="77777777" w:rsidR="0013432E" w:rsidRDefault="0013432E" w:rsidP="00131D13">
      <w:pPr>
        <w:spacing w:after="0" w:line="240" w:lineRule="auto"/>
        <w:jc w:val="right"/>
        <w:rPr>
          <w:rFonts w:ascii="Times New Roman" w:eastAsia="Times New Roman" w:hAnsi="Times New Roman" w:cs="Times New Roman"/>
        </w:rPr>
      </w:pPr>
    </w:p>
    <w:p w14:paraId="0BA859CA" w14:textId="77777777" w:rsidR="0013432E" w:rsidRDefault="0013432E" w:rsidP="00131D13">
      <w:pPr>
        <w:spacing w:after="0" w:line="240" w:lineRule="auto"/>
        <w:jc w:val="right"/>
        <w:rPr>
          <w:rFonts w:ascii="Times New Roman" w:eastAsia="Times New Roman" w:hAnsi="Times New Roman" w:cs="Times New Roman"/>
        </w:rPr>
      </w:pPr>
    </w:p>
    <w:p w14:paraId="30D355BC" w14:textId="5629E7AC" w:rsidR="0013432E" w:rsidRDefault="00F5210A" w:rsidP="00131D1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w:t>
      </w:r>
    </w:p>
    <w:p w14:paraId="51D74B03" w14:textId="77777777" w:rsidR="0013432E" w:rsidRDefault="0013432E" w:rsidP="00131D13">
      <w:pPr>
        <w:spacing w:after="0" w:line="240" w:lineRule="auto"/>
        <w:jc w:val="right"/>
        <w:rPr>
          <w:rFonts w:ascii="Times New Roman" w:eastAsia="Times New Roman" w:hAnsi="Times New Roman" w:cs="Times New Roman"/>
        </w:rPr>
      </w:pPr>
    </w:p>
    <w:p w14:paraId="4B65845C" w14:textId="77777777" w:rsidR="0013432E" w:rsidRPr="00F22DFE" w:rsidRDefault="0013432E" w:rsidP="00131D13">
      <w:pPr>
        <w:spacing w:after="0" w:line="240" w:lineRule="auto"/>
        <w:jc w:val="right"/>
        <w:rPr>
          <w:rFonts w:ascii="Times New Roman" w:eastAsia="Times New Roman" w:hAnsi="Times New Roman" w:cs="Times New Roman"/>
        </w:rPr>
      </w:pPr>
    </w:p>
    <w:p w14:paraId="088E2804" w14:textId="77777777" w:rsidR="00131D13" w:rsidRPr="00F22DFE" w:rsidRDefault="00131D13" w:rsidP="00131D13">
      <w:pPr>
        <w:spacing w:after="0" w:line="240" w:lineRule="auto"/>
        <w:jc w:val="right"/>
        <w:rPr>
          <w:rFonts w:ascii="Times New Roman" w:eastAsia="Times New Roman" w:hAnsi="Times New Roman" w:cs="Times New Roman"/>
        </w:rPr>
      </w:pPr>
    </w:p>
    <w:p w14:paraId="50A1E902"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2.10. </w:t>
      </w:r>
      <w:r w:rsidRPr="00F22DFE">
        <w:rPr>
          <w:rFonts w:ascii="Times New Roman" w:eastAsia="Times New Roman" w:hAnsi="Times New Roman" w:cs="Times New Roman"/>
          <w:b/>
        </w:rPr>
        <w:tab/>
        <w:t xml:space="preserve">Nekretnine, postrojenja i oprema </w:t>
      </w:r>
    </w:p>
    <w:p w14:paraId="6E74DD79" w14:textId="77777777" w:rsidR="00131D13" w:rsidRPr="00F22DFE" w:rsidRDefault="00131D13" w:rsidP="00131D13">
      <w:pPr>
        <w:spacing w:after="0" w:line="240" w:lineRule="auto"/>
        <w:jc w:val="both"/>
        <w:rPr>
          <w:rFonts w:ascii="Times New Roman" w:eastAsia="Times New Roman" w:hAnsi="Times New Roman" w:cs="Times New Roman"/>
        </w:rPr>
      </w:pPr>
    </w:p>
    <w:p w14:paraId="14614C71"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Materijalna imovina, izuzev zemljišta, iskazuje se po trošku nabave umanjenom za akumuliranu amortizaciju i trajna umanjenja vrijednosti.</w:t>
      </w:r>
    </w:p>
    <w:p w14:paraId="73BE4AA9"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Naknadni izdaci uključuju se u knjigovodstvenu vrijednost imovine ili se, po potrebi, priznaju kao zasebna imovina samo ako će društvo imati buduće ekonomske koristi od spomenute imovine, te ako se trošak imovine može pouzdano mjeriti. Popravci i održavanja nekretnina, postrojenja i opreme priznaju se kao rashodi razdoblja u kojem su nastali.</w:t>
      </w:r>
    </w:p>
    <w:p w14:paraId="66433DC3"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Amortizacija se knjiži kao trošak razdoblja, a obračunava se linearnom metodom tijekom očekivanog korisnog vijeka trajanja imovine. </w:t>
      </w:r>
    </w:p>
    <w:p w14:paraId="3CA55228" w14:textId="77777777" w:rsidR="00131D13"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w:t>
      </w:r>
    </w:p>
    <w:p w14:paraId="2D4DAD16" w14:textId="16E53359" w:rsidR="00131D13" w:rsidRDefault="00DE35C7" w:rsidP="00131D1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w:t>
      </w:r>
      <w:r w:rsidR="00A841B9">
        <w:rPr>
          <w:rFonts w:ascii="Times New Roman" w:eastAsia="Times New Roman" w:hAnsi="Times New Roman" w:cs="Times New Roman"/>
        </w:rPr>
        <w:t xml:space="preserve">emeljem točke 6.49. HSFI-ja, a što je u skladu sa porezno priznatim amortizacijskim stopama sukladno čl. 12. Zakona o porezu na dobit (NN 143/14, 50/16, 106/18 i 121/19) </w:t>
      </w:r>
      <w:r w:rsidR="00131D13" w:rsidRPr="00F22DFE">
        <w:rPr>
          <w:rFonts w:ascii="Times New Roman" w:eastAsia="Times New Roman" w:hAnsi="Times New Roman" w:cs="Times New Roman"/>
        </w:rPr>
        <w:t>procijenjeni vijek uporabe imovine za 20</w:t>
      </w:r>
      <w:r w:rsidR="00A841B9">
        <w:rPr>
          <w:rFonts w:ascii="Times New Roman" w:eastAsia="Times New Roman" w:hAnsi="Times New Roman" w:cs="Times New Roman"/>
        </w:rPr>
        <w:t>2</w:t>
      </w:r>
      <w:r w:rsidR="00E81CB2">
        <w:rPr>
          <w:rFonts w:ascii="Times New Roman" w:eastAsia="Times New Roman" w:hAnsi="Times New Roman" w:cs="Times New Roman"/>
        </w:rPr>
        <w:t>2</w:t>
      </w:r>
      <w:r w:rsidR="00131D13" w:rsidRPr="00F22DFE">
        <w:rPr>
          <w:rFonts w:ascii="Times New Roman" w:eastAsia="Times New Roman" w:hAnsi="Times New Roman" w:cs="Times New Roman"/>
        </w:rPr>
        <w:t>. godinu</w:t>
      </w:r>
      <w:r w:rsidR="00A841B9">
        <w:rPr>
          <w:rFonts w:ascii="Times New Roman" w:eastAsia="Times New Roman" w:hAnsi="Times New Roman" w:cs="Times New Roman"/>
        </w:rPr>
        <w:t xml:space="preserve"> je kako slijedi</w:t>
      </w:r>
      <w:r w:rsidR="00131D13" w:rsidRPr="00F22DFE">
        <w:rPr>
          <w:rFonts w:ascii="Times New Roman" w:eastAsia="Times New Roman" w:hAnsi="Times New Roman" w:cs="Times New Roman"/>
        </w:rPr>
        <w:t>:</w:t>
      </w:r>
    </w:p>
    <w:p w14:paraId="368CE2CA" w14:textId="77777777" w:rsidR="0013432E" w:rsidRDefault="0013432E" w:rsidP="00131D13">
      <w:pPr>
        <w:spacing w:after="0" w:line="240" w:lineRule="auto"/>
        <w:jc w:val="both"/>
        <w:rPr>
          <w:rFonts w:ascii="Times New Roman" w:eastAsia="Times New Roman" w:hAnsi="Times New Roman" w:cs="Times New Roman"/>
        </w:rPr>
      </w:pPr>
    </w:p>
    <w:p w14:paraId="17F5F5B1" w14:textId="77777777" w:rsidR="00131D13" w:rsidRPr="00F22DFE" w:rsidRDefault="00131D13" w:rsidP="00131D13">
      <w:pPr>
        <w:spacing w:after="0" w:line="240" w:lineRule="auto"/>
        <w:jc w:val="both"/>
        <w:rPr>
          <w:rFonts w:ascii="Times New Roman" w:eastAsia="Times New Roman" w:hAnsi="Times New Roman" w:cs="Times New Roman"/>
        </w:rPr>
      </w:pPr>
    </w:p>
    <w:tbl>
      <w:tblPr>
        <w:tblStyle w:val="Reetkatablice1"/>
        <w:tblW w:w="0" w:type="auto"/>
        <w:tblInd w:w="-5" w:type="dxa"/>
        <w:tblLook w:val="04A0" w:firstRow="1" w:lastRow="0" w:firstColumn="1" w:lastColumn="0" w:noHBand="0" w:noVBand="1"/>
      </w:tblPr>
      <w:tblGrid>
        <w:gridCol w:w="742"/>
        <w:gridCol w:w="1836"/>
        <w:gridCol w:w="1134"/>
        <w:gridCol w:w="1701"/>
      </w:tblGrid>
      <w:tr w:rsidR="006E2405" w:rsidRPr="00A841B9" w14:paraId="661EFBBA" w14:textId="77777777" w:rsidTr="006E2405">
        <w:tc>
          <w:tcPr>
            <w:tcW w:w="742" w:type="dxa"/>
          </w:tcPr>
          <w:p w14:paraId="51DF52D4" w14:textId="77777777" w:rsidR="006E2405" w:rsidRPr="00422B5C" w:rsidRDefault="006E2405" w:rsidP="00A841B9">
            <w:pPr>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Redni</w:t>
            </w:r>
          </w:p>
          <w:p w14:paraId="7F796C73" w14:textId="77777777" w:rsidR="006E2405" w:rsidRPr="00422B5C" w:rsidRDefault="006E2405" w:rsidP="00A841B9">
            <w:pPr>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 xml:space="preserve"> broj</w:t>
            </w:r>
          </w:p>
        </w:tc>
        <w:tc>
          <w:tcPr>
            <w:tcW w:w="1836" w:type="dxa"/>
          </w:tcPr>
          <w:p w14:paraId="70426505"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Naziv amortizacijske skupine</w:t>
            </w:r>
          </w:p>
        </w:tc>
        <w:tc>
          <w:tcPr>
            <w:tcW w:w="1134" w:type="dxa"/>
          </w:tcPr>
          <w:p w14:paraId="3E2A6ABA" w14:textId="77777777" w:rsidR="006E2405" w:rsidRPr="00422B5C" w:rsidRDefault="006E2405" w:rsidP="00A841B9">
            <w:pPr>
              <w:spacing w:before="100" w:before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Vijek trajanja godine (novo)</w:t>
            </w:r>
          </w:p>
        </w:tc>
        <w:tc>
          <w:tcPr>
            <w:tcW w:w="1701" w:type="dxa"/>
          </w:tcPr>
          <w:p w14:paraId="7C4D296C"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Godišnja amortizacijska skupina (novo)</w:t>
            </w:r>
          </w:p>
        </w:tc>
      </w:tr>
      <w:tr w:rsidR="006E2405" w:rsidRPr="00A841B9" w14:paraId="63CD2E55" w14:textId="77777777" w:rsidTr="006E2405">
        <w:tc>
          <w:tcPr>
            <w:tcW w:w="742" w:type="dxa"/>
          </w:tcPr>
          <w:p w14:paraId="4DABF9CB"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1.</w:t>
            </w:r>
          </w:p>
        </w:tc>
        <w:tc>
          <w:tcPr>
            <w:tcW w:w="1836" w:type="dxa"/>
          </w:tcPr>
          <w:p w14:paraId="599AB7D0" w14:textId="77777777" w:rsidR="006E2405" w:rsidRPr="00422B5C" w:rsidRDefault="006E2405" w:rsidP="00A841B9">
            <w:pPr>
              <w:spacing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Građevinski objekti zgrade i dr.</w:t>
            </w:r>
          </w:p>
        </w:tc>
        <w:tc>
          <w:tcPr>
            <w:tcW w:w="1134" w:type="dxa"/>
          </w:tcPr>
          <w:p w14:paraId="1F8A82F4"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 xml:space="preserve">20 </w:t>
            </w:r>
          </w:p>
        </w:tc>
        <w:tc>
          <w:tcPr>
            <w:tcW w:w="1701" w:type="dxa"/>
          </w:tcPr>
          <w:p w14:paraId="1FCE7CB2"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5%</w:t>
            </w:r>
          </w:p>
        </w:tc>
      </w:tr>
      <w:tr w:rsidR="006E2405" w:rsidRPr="00A841B9" w14:paraId="5BAA442C" w14:textId="77777777" w:rsidTr="006E2405">
        <w:tc>
          <w:tcPr>
            <w:tcW w:w="742" w:type="dxa"/>
          </w:tcPr>
          <w:p w14:paraId="51775B2E"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2.</w:t>
            </w:r>
          </w:p>
        </w:tc>
        <w:tc>
          <w:tcPr>
            <w:tcW w:w="1836" w:type="dxa"/>
          </w:tcPr>
          <w:p w14:paraId="6AF1C78E"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Transportna vozila</w:t>
            </w:r>
          </w:p>
        </w:tc>
        <w:tc>
          <w:tcPr>
            <w:tcW w:w="1134" w:type="dxa"/>
          </w:tcPr>
          <w:p w14:paraId="5881763D"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 xml:space="preserve"> 4</w:t>
            </w:r>
          </w:p>
        </w:tc>
        <w:tc>
          <w:tcPr>
            <w:tcW w:w="1701" w:type="dxa"/>
          </w:tcPr>
          <w:p w14:paraId="79A1F279"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25%</w:t>
            </w:r>
          </w:p>
        </w:tc>
      </w:tr>
      <w:tr w:rsidR="006E2405" w:rsidRPr="00A841B9" w14:paraId="24C0A047" w14:textId="77777777" w:rsidTr="006E2405">
        <w:tc>
          <w:tcPr>
            <w:tcW w:w="742" w:type="dxa"/>
          </w:tcPr>
          <w:p w14:paraId="2E06212E"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3.</w:t>
            </w:r>
          </w:p>
        </w:tc>
        <w:tc>
          <w:tcPr>
            <w:tcW w:w="1836" w:type="dxa"/>
          </w:tcPr>
          <w:p w14:paraId="3C33A958"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Uredski namještaj i oprema</w:t>
            </w:r>
          </w:p>
        </w:tc>
        <w:tc>
          <w:tcPr>
            <w:tcW w:w="1134" w:type="dxa"/>
          </w:tcPr>
          <w:p w14:paraId="24F46153"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 xml:space="preserve"> 4</w:t>
            </w:r>
          </w:p>
        </w:tc>
        <w:tc>
          <w:tcPr>
            <w:tcW w:w="1701" w:type="dxa"/>
          </w:tcPr>
          <w:p w14:paraId="4E466426"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25%</w:t>
            </w:r>
          </w:p>
        </w:tc>
      </w:tr>
      <w:tr w:rsidR="006E2405" w:rsidRPr="00A841B9" w14:paraId="6E3F1728" w14:textId="77777777" w:rsidTr="006E2405">
        <w:tc>
          <w:tcPr>
            <w:tcW w:w="742" w:type="dxa"/>
          </w:tcPr>
          <w:p w14:paraId="0CD1837C"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4.</w:t>
            </w:r>
          </w:p>
        </w:tc>
        <w:tc>
          <w:tcPr>
            <w:tcW w:w="1836" w:type="dxa"/>
          </w:tcPr>
          <w:p w14:paraId="5CADEEA8"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Računalna oprema, softveri, tel.</w:t>
            </w:r>
          </w:p>
        </w:tc>
        <w:tc>
          <w:tcPr>
            <w:tcW w:w="1134" w:type="dxa"/>
          </w:tcPr>
          <w:p w14:paraId="17A98F3B"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 xml:space="preserve"> 2</w:t>
            </w:r>
          </w:p>
        </w:tc>
        <w:tc>
          <w:tcPr>
            <w:tcW w:w="1701" w:type="dxa"/>
          </w:tcPr>
          <w:p w14:paraId="5EE888FF"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50%</w:t>
            </w:r>
          </w:p>
        </w:tc>
      </w:tr>
      <w:tr w:rsidR="006E2405" w:rsidRPr="00A841B9" w14:paraId="3CF0D238" w14:textId="77777777" w:rsidTr="006E2405">
        <w:tc>
          <w:tcPr>
            <w:tcW w:w="742" w:type="dxa"/>
          </w:tcPr>
          <w:p w14:paraId="05685B89"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5.</w:t>
            </w:r>
          </w:p>
        </w:tc>
        <w:tc>
          <w:tcPr>
            <w:tcW w:w="1836" w:type="dxa"/>
          </w:tcPr>
          <w:p w14:paraId="0F8C4FF1"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Nematerijalna imovina (licence)</w:t>
            </w:r>
          </w:p>
        </w:tc>
        <w:tc>
          <w:tcPr>
            <w:tcW w:w="1134" w:type="dxa"/>
          </w:tcPr>
          <w:p w14:paraId="14E39ABC"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4</w:t>
            </w:r>
          </w:p>
        </w:tc>
        <w:tc>
          <w:tcPr>
            <w:tcW w:w="1701" w:type="dxa"/>
          </w:tcPr>
          <w:p w14:paraId="7AB3CB07"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25%</w:t>
            </w:r>
          </w:p>
        </w:tc>
      </w:tr>
      <w:tr w:rsidR="006E2405" w:rsidRPr="00A841B9" w14:paraId="3005FC7F" w14:textId="77777777" w:rsidTr="006E2405">
        <w:tc>
          <w:tcPr>
            <w:tcW w:w="742" w:type="dxa"/>
          </w:tcPr>
          <w:p w14:paraId="7DBD8422"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6.</w:t>
            </w:r>
          </w:p>
        </w:tc>
        <w:tc>
          <w:tcPr>
            <w:tcW w:w="1836" w:type="dxa"/>
          </w:tcPr>
          <w:p w14:paraId="6A830BBA"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Transportna vozila – osobni automobili</w:t>
            </w:r>
          </w:p>
        </w:tc>
        <w:tc>
          <w:tcPr>
            <w:tcW w:w="1134" w:type="dxa"/>
          </w:tcPr>
          <w:p w14:paraId="4065D6AE"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5</w:t>
            </w:r>
          </w:p>
        </w:tc>
        <w:tc>
          <w:tcPr>
            <w:tcW w:w="1701" w:type="dxa"/>
          </w:tcPr>
          <w:p w14:paraId="1DE9B192"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20%</w:t>
            </w:r>
          </w:p>
        </w:tc>
      </w:tr>
      <w:tr w:rsidR="006E2405" w:rsidRPr="00A841B9" w14:paraId="245D1D39" w14:textId="77777777" w:rsidTr="006E2405">
        <w:tc>
          <w:tcPr>
            <w:tcW w:w="742" w:type="dxa"/>
          </w:tcPr>
          <w:p w14:paraId="70B46069"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7.</w:t>
            </w:r>
          </w:p>
        </w:tc>
        <w:tc>
          <w:tcPr>
            <w:tcW w:w="1836" w:type="dxa"/>
          </w:tcPr>
          <w:p w14:paraId="52E398E6"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 xml:space="preserve">Ulaganja u tuđu imovinu </w:t>
            </w:r>
          </w:p>
        </w:tc>
        <w:tc>
          <w:tcPr>
            <w:tcW w:w="1134" w:type="dxa"/>
          </w:tcPr>
          <w:p w14:paraId="006D9A08"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10</w:t>
            </w:r>
          </w:p>
        </w:tc>
        <w:tc>
          <w:tcPr>
            <w:tcW w:w="1701" w:type="dxa"/>
          </w:tcPr>
          <w:p w14:paraId="07BADCA8"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10%</w:t>
            </w:r>
          </w:p>
        </w:tc>
      </w:tr>
      <w:tr w:rsidR="006E2405" w:rsidRPr="00A841B9" w14:paraId="7F880C6C" w14:textId="77777777" w:rsidTr="006E2405">
        <w:tc>
          <w:tcPr>
            <w:tcW w:w="742" w:type="dxa"/>
          </w:tcPr>
          <w:p w14:paraId="2336D6FF"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8.</w:t>
            </w:r>
          </w:p>
        </w:tc>
        <w:tc>
          <w:tcPr>
            <w:tcW w:w="1836" w:type="dxa"/>
          </w:tcPr>
          <w:p w14:paraId="09E2AC76"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Ostala imovina</w:t>
            </w:r>
          </w:p>
        </w:tc>
        <w:tc>
          <w:tcPr>
            <w:tcW w:w="1134" w:type="dxa"/>
          </w:tcPr>
          <w:p w14:paraId="57FEEAB4"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10</w:t>
            </w:r>
          </w:p>
        </w:tc>
        <w:tc>
          <w:tcPr>
            <w:tcW w:w="1701" w:type="dxa"/>
          </w:tcPr>
          <w:p w14:paraId="697EF24D"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10%</w:t>
            </w:r>
          </w:p>
        </w:tc>
      </w:tr>
    </w:tbl>
    <w:p w14:paraId="21518C0A" w14:textId="77777777" w:rsidR="00A841B9" w:rsidRDefault="00A841B9" w:rsidP="00131D13">
      <w:pPr>
        <w:spacing w:after="0" w:line="240" w:lineRule="auto"/>
        <w:rPr>
          <w:rFonts w:ascii="Times New Roman" w:eastAsia="Times New Roman" w:hAnsi="Times New Roman" w:cs="Times New Roman"/>
        </w:rPr>
      </w:pPr>
    </w:p>
    <w:p w14:paraId="50761866" w14:textId="77777777"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Stavke nekretnina, postrojenja i opreme koje su rashodovane ili prodane isključene su iz bilance zajedno s pripadajućom akumuliranom amortizacijom. Bilo koji dobitak ili gubitak nastao pri prestanku priznavanja imovine se iskazuje u računu dobitka i gubitka u godini prestanka priznavanja.</w:t>
      </w:r>
    </w:p>
    <w:p w14:paraId="5D92E6CE" w14:textId="77777777" w:rsidR="00131D13"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 xml:space="preserve">Stvari i oprema evidentiraju se kao materijalna imovina sukladno zakonskim propisima ukoliko im je vijek uporabe duži od jedne godine, a pojedinačna nabavna cijena veća od  3.500,00 kuna. </w:t>
      </w:r>
    </w:p>
    <w:p w14:paraId="57A15B83" w14:textId="77777777" w:rsidR="00F5210A" w:rsidRDefault="00F5210A" w:rsidP="00131D13">
      <w:pPr>
        <w:spacing w:after="0" w:line="240" w:lineRule="auto"/>
        <w:rPr>
          <w:rFonts w:ascii="Times New Roman" w:eastAsia="Times New Roman" w:hAnsi="Times New Roman" w:cs="Times New Roman"/>
        </w:rPr>
      </w:pPr>
    </w:p>
    <w:p w14:paraId="64408C9A" w14:textId="77777777" w:rsidR="00F5210A" w:rsidRDefault="00F5210A" w:rsidP="00131D13">
      <w:pPr>
        <w:spacing w:after="0" w:line="240" w:lineRule="auto"/>
        <w:rPr>
          <w:rFonts w:ascii="Times New Roman" w:eastAsia="Times New Roman" w:hAnsi="Times New Roman" w:cs="Times New Roman"/>
        </w:rPr>
      </w:pPr>
    </w:p>
    <w:p w14:paraId="1B5ECBE3" w14:textId="77777777" w:rsidR="00F5210A" w:rsidRDefault="00F5210A" w:rsidP="00131D13">
      <w:pPr>
        <w:spacing w:after="0" w:line="240" w:lineRule="auto"/>
        <w:rPr>
          <w:rFonts w:ascii="Times New Roman" w:eastAsia="Times New Roman" w:hAnsi="Times New Roman" w:cs="Times New Roman"/>
        </w:rPr>
      </w:pPr>
    </w:p>
    <w:p w14:paraId="1EC07213" w14:textId="4B1E7921" w:rsidR="00F5210A" w:rsidRDefault="00F5210A" w:rsidP="00F5210A">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w:t>
      </w:r>
    </w:p>
    <w:p w14:paraId="18333A51"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lastRenderedPageBreak/>
        <w:t xml:space="preserve">2.11. </w:t>
      </w:r>
      <w:r w:rsidRPr="00F22DFE">
        <w:rPr>
          <w:rFonts w:ascii="Times New Roman" w:eastAsia="Times New Roman" w:hAnsi="Times New Roman" w:cs="Times New Roman"/>
          <w:b/>
        </w:rPr>
        <w:tab/>
        <w:t>Zalihe</w:t>
      </w:r>
    </w:p>
    <w:p w14:paraId="0050EA55" w14:textId="77777777" w:rsidR="00131D13" w:rsidRPr="000E4286" w:rsidRDefault="00131D13" w:rsidP="00131D13">
      <w:pPr>
        <w:spacing w:after="0" w:line="240" w:lineRule="auto"/>
        <w:jc w:val="both"/>
        <w:rPr>
          <w:rFonts w:ascii="Times New Roman" w:eastAsia="Times New Roman" w:hAnsi="Times New Roman" w:cs="Times New Roman"/>
        </w:rPr>
      </w:pPr>
    </w:p>
    <w:p w14:paraId="3B3A60A2"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Zalihe materijala i sitnog inventara iskazuju se u iznosima troškova nabave koji su potrebni za njihovo dovođenje na sadašnju lokaciju i u sadašnje stanje. Zalihe sitnog inventara i auto guma se otpisuju u 100%-</w:t>
      </w:r>
      <w:proofErr w:type="spellStart"/>
      <w:r w:rsidRPr="00F22DFE">
        <w:rPr>
          <w:rFonts w:ascii="Times New Roman" w:eastAsia="Times New Roman" w:hAnsi="Times New Roman" w:cs="Times New Roman"/>
        </w:rPr>
        <w:t>tnom</w:t>
      </w:r>
      <w:proofErr w:type="spellEnd"/>
      <w:r w:rsidRPr="00F22DFE">
        <w:rPr>
          <w:rFonts w:ascii="Times New Roman" w:eastAsia="Times New Roman" w:hAnsi="Times New Roman" w:cs="Times New Roman"/>
        </w:rPr>
        <w:t xml:space="preserve"> iznosu prilikom prijenosa u uporabu.</w:t>
      </w:r>
    </w:p>
    <w:p w14:paraId="499A0D51" w14:textId="77777777" w:rsidR="00131D13" w:rsidRPr="00F22DFE" w:rsidRDefault="00131D13" w:rsidP="00131D13">
      <w:pPr>
        <w:spacing w:after="0" w:line="240" w:lineRule="auto"/>
        <w:ind w:hanging="11"/>
        <w:jc w:val="both"/>
        <w:rPr>
          <w:rFonts w:ascii="Times New Roman" w:eastAsia="Times New Roman" w:hAnsi="Times New Roman" w:cs="Times New Roman"/>
        </w:rPr>
      </w:pPr>
      <w:r w:rsidRPr="00F22DFE">
        <w:rPr>
          <w:rFonts w:ascii="Times New Roman" w:eastAsia="Times New Roman" w:hAnsi="Times New Roman" w:cs="Times New Roman"/>
        </w:rPr>
        <w:t>Zalihe trgovačke robe iskazuju se po trošku nabave kojeg čini kupovna cijena prema fakturi dobavljača umanjena za iskazane popuste i ostale troškove kupnje koji se izravno mogu pripisati nabavci, kao što su troškovi prijevoza, ukrcaja i istovara robe, carine i druge uvozne pristojbe.</w:t>
      </w:r>
    </w:p>
    <w:p w14:paraId="35FDC088" w14:textId="77777777" w:rsidR="00131D13" w:rsidRDefault="00131D13" w:rsidP="00131D13">
      <w:pPr>
        <w:spacing w:after="0" w:line="240" w:lineRule="auto"/>
        <w:ind w:hanging="11"/>
        <w:jc w:val="both"/>
        <w:rPr>
          <w:rFonts w:ascii="Times New Roman" w:eastAsia="Times New Roman" w:hAnsi="Times New Roman" w:cs="Times New Roman"/>
        </w:rPr>
      </w:pPr>
      <w:r w:rsidRPr="00F22DFE">
        <w:rPr>
          <w:rFonts w:ascii="Times New Roman" w:eastAsia="Times New Roman" w:hAnsi="Times New Roman" w:cs="Times New Roman"/>
        </w:rPr>
        <w:t>Roba u maloprodaji iskazuje se u bruto bilančnim vrijednostima prema kalkulativnoj prodajnoj cijeni, tako da se istodobno osiguravaju podaci o razlici u cijeni (ukalkuliranoj marži) i porezu na dodanu vrijednost.</w:t>
      </w:r>
    </w:p>
    <w:p w14:paraId="5E038749"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Usklađivanje vrijednosti zaliha vrši se krajem godine prilikom popisa ako dolazi do oštećenja, djelomičnog ili potpunog zastarijevanja i sličnih okolnosti.</w:t>
      </w:r>
    </w:p>
    <w:p w14:paraId="4869D6B5" w14:textId="77777777" w:rsidR="00131D13" w:rsidRPr="00F22DFE" w:rsidRDefault="00131D13" w:rsidP="003C5F17">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w:t>
      </w:r>
    </w:p>
    <w:p w14:paraId="1F5EB9C5"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2.12. </w:t>
      </w:r>
      <w:r w:rsidRPr="00F22DFE">
        <w:rPr>
          <w:rFonts w:ascii="Times New Roman" w:eastAsia="Times New Roman" w:hAnsi="Times New Roman" w:cs="Times New Roman"/>
          <w:b/>
        </w:rPr>
        <w:tab/>
        <w:t>Potraživanja temeljem prodaje</w:t>
      </w:r>
    </w:p>
    <w:p w14:paraId="10097025" w14:textId="77777777" w:rsidR="00131D13" w:rsidRPr="00F22DFE" w:rsidRDefault="00131D13" w:rsidP="00131D13">
      <w:pPr>
        <w:spacing w:after="0" w:line="240" w:lineRule="auto"/>
        <w:jc w:val="both"/>
        <w:rPr>
          <w:rFonts w:ascii="Times New Roman" w:eastAsia="Times New Roman" w:hAnsi="Times New Roman" w:cs="Times New Roman"/>
          <w:b/>
        </w:rPr>
      </w:pPr>
    </w:p>
    <w:p w14:paraId="551FEA0C"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 xml:space="preserve">Potraživanja temeljem prodaje obuhvaćaju sva potraživanja za izvršene usluge i isporučenu robu. </w:t>
      </w:r>
    </w:p>
    <w:p w14:paraId="4462A773"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Potraživanja iz poslovanja i ostala potraživanja se mjere po fer vrijednosti, a naknadno po trošku umanjenom za gubitke od umanjenja vrijednosti.</w:t>
      </w:r>
    </w:p>
    <w:p w14:paraId="17BEBF7F" w14:textId="77777777" w:rsidR="00131D13" w:rsidRPr="00D33D16" w:rsidRDefault="00BB29DA"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 xml:space="preserve">Na svaki datum bilance procjenjuje se postoji li objektivan dokaz o umanjenu vrijednosti pojedinog potraživanja. Ako postoji objektivan dokaz da Društvo neće moći naplatiti </w:t>
      </w:r>
      <w:r w:rsidR="00E955F2" w:rsidRPr="00D33D16">
        <w:rPr>
          <w:rFonts w:ascii="Times New Roman" w:eastAsia="Times New Roman" w:hAnsi="Times New Roman" w:cs="Times New Roman"/>
        </w:rPr>
        <w:t xml:space="preserve">svoja potraživanja provodi se ispravak vrijednosti upotrebom konta ispravka vrijednosti. </w:t>
      </w:r>
    </w:p>
    <w:p w14:paraId="0BC52104" w14:textId="77777777" w:rsidR="00E955F2" w:rsidRPr="00D33D16" w:rsidRDefault="00E955F2" w:rsidP="00131D13">
      <w:pPr>
        <w:spacing w:after="0" w:line="240" w:lineRule="auto"/>
        <w:jc w:val="both"/>
        <w:rPr>
          <w:rFonts w:ascii="Times New Roman" w:eastAsia="Times New Roman" w:hAnsi="Times New Roman" w:cs="Times New Roman"/>
        </w:rPr>
      </w:pPr>
    </w:p>
    <w:p w14:paraId="24903A92" w14:textId="77777777" w:rsidR="00131D13" w:rsidRPr="00D33D16" w:rsidRDefault="00131D13" w:rsidP="00131D13">
      <w:pPr>
        <w:spacing w:after="0" w:line="240" w:lineRule="auto"/>
        <w:jc w:val="both"/>
        <w:rPr>
          <w:rFonts w:ascii="Times New Roman" w:eastAsia="Times New Roman" w:hAnsi="Times New Roman" w:cs="Times New Roman"/>
          <w:b/>
        </w:rPr>
      </w:pPr>
      <w:r w:rsidRPr="00D33D16">
        <w:rPr>
          <w:rFonts w:ascii="Times New Roman" w:eastAsia="Times New Roman" w:hAnsi="Times New Roman" w:cs="Times New Roman"/>
          <w:b/>
        </w:rPr>
        <w:t>2.13.</w:t>
      </w:r>
      <w:r w:rsidRPr="00D33D16">
        <w:rPr>
          <w:rFonts w:ascii="Times New Roman" w:eastAsia="Times New Roman" w:hAnsi="Times New Roman" w:cs="Times New Roman"/>
          <w:b/>
        </w:rPr>
        <w:tab/>
        <w:t>Novčana sredstva</w:t>
      </w:r>
    </w:p>
    <w:p w14:paraId="4C23BBA5" w14:textId="77777777" w:rsidR="00131D13" w:rsidRPr="00D33D16" w:rsidRDefault="00131D13" w:rsidP="00131D13">
      <w:pPr>
        <w:spacing w:after="0" w:line="240" w:lineRule="auto"/>
        <w:jc w:val="both"/>
        <w:rPr>
          <w:rFonts w:ascii="Times New Roman" w:eastAsia="Times New Roman" w:hAnsi="Times New Roman" w:cs="Times New Roman"/>
          <w:b/>
        </w:rPr>
      </w:pPr>
    </w:p>
    <w:p w14:paraId="11E28329"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 xml:space="preserve">Novac i novčani ekvivalenti sastoje se od novca u blagajni i na računima banaka. </w:t>
      </w:r>
    </w:p>
    <w:p w14:paraId="39CE63AF" w14:textId="77777777" w:rsidR="00131D13" w:rsidRPr="00D33D16" w:rsidRDefault="00131D13" w:rsidP="00131D13">
      <w:pPr>
        <w:spacing w:after="0" w:line="240" w:lineRule="auto"/>
        <w:jc w:val="both"/>
        <w:rPr>
          <w:rFonts w:ascii="Times New Roman" w:eastAsia="Times New Roman" w:hAnsi="Times New Roman" w:cs="Times New Roman"/>
        </w:rPr>
      </w:pPr>
    </w:p>
    <w:p w14:paraId="3DD2F55C" w14:textId="77777777" w:rsidR="00131D13" w:rsidRPr="00D33D16" w:rsidRDefault="00131D13" w:rsidP="00131D13">
      <w:pPr>
        <w:spacing w:after="0" w:line="240" w:lineRule="auto"/>
        <w:jc w:val="both"/>
        <w:rPr>
          <w:rFonts w:ascii="Times New Roman" w:eastAsia="Times New Roman" w:hAnsi="Times New Roman" w:cs="Times New Roman"/>
          <w:b/>
        </w:rPr>
      </w:pPr>
      <w:r w:rsidRPr="00D33D16">
        <w:rPr>
          <w:rFonts w:ascii="Times New Roman" w:eastAsia="Times New Roman" w:hAnsi="Times New Roman" w:cs="Times New Roman"/>
          <w:b/>
        </w:rPr>
        <w:t>2.14.</w:t>
      </w:r>
      <w:r w:rsidRPr="00D33D16">
        <w:rPr>
          <w:rFonts w:ascii="Times New Roman" w:eastAsia="Times New Roman" w:hAnsi="Times New Roman" w:cs="Times New Roman"/>
          <w:b/>
        </w:rPr>
        <w:tab/>
        <w:t>Obveze prema zaposlenim</w:t>
      </w:r>
    </w:p>
    <w:p w14:paraId="611B9A85" w14:textId="77777777" w:rsidR="00131D13" w:rsidRPr="00D33D16" w:rsidRDefault="00131D13" w:rsidP="00131D13">
      <w:pPr>
        <w:spacing w:after="0" w:line="240" w:lineRule="auto"/>
        <w:jc w:val="both"/>
        <w:rPr>
          <w:rFonts w:ascii="Times New Roman" w:eastAsia="Times New Roman" w:hAnsi="Times New Roman" w:cs="Times New Roman"/>
          <w:b/>
          <w:i/>
          <w:u w:val="single"/>
        </w:rPr>
      </w:pPr>
    </w:p>
    <w:p w14:paraId="7B03C0D2"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Obveze za neto plaće, za doprinose mirovinskim fondovima, fondu zdravstva i za ostale doprinose priznaju se kao trošak u razdoblju u kojem nastaju.</w:t>
      </w:r>
    </w:p>
    <w:p w14:paraId="5A0936B1"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U toku redovnog poslovanja prilikom isplata plaća Društvo u ime svojih zaposlenika koji su članovi obveznih fondova obavlja redovita plaćanja sukladno zakonskim propisima.</w:t>
      </w:r>
    </w:p>
    <w:p w14:paraId="2E840EA0"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Društvo nema obvezu osiguravanja bilo kojih drugih primanja zaposlenika nakon njihova umirovljenja.</w:t>
      </w:r>
    </w:p>
    <w:p w14:paraId="1B31E04D" w14:textId="77777777" w:rsidR="00E955F2" w:rsidRPr="00D33D16" w:rsidRDefault="00E955F2" w:rsidP="00131D13">
      <w:pPr>
        <w:spacing w:after="0" w:line="240" w:lineRule="auto"/>
        <w:jc w:val="both"/>
        <w:rPr>
          <w:rFonts w:ascii="Times New Roman" w:eastAsia="Times New Roman" w:hAnsi="Times New Roman" w:cs="Times New Roman"/>
        </w:rPr>
      </w:pPr>
    </w:p>
    <w:p w14:paraId="6376AB15" w14:textId="77777777" w:rsidR="00E955F2" w:rsidRPr="00D33D16" w:rsidRDefault="00E955F2" w:rsidP="00131D13">
      <w:pPr>
        <w:spacing w:after="0" w:line="240" w:lineRule="auto"/>
        <w:jc w:val="both"/>
        <w:rPr>
          <w:rFonts w:ascii="Times New Roman" w:eastAsia="Times New Roman" w:hAnsi="Times New Roman" w:cs="Times New Roman"/>
          <w:b/>
        </w:rPr>
      </w:pPr>
      <w:r w:rsidRPr="00D33D16">
        <w:rPr>
          <w:rFonts w:ascii="Times New Roman" w:eastAsia="Times New Roman" w:hAnsi="Times New Roman" w:cs="Times New Roman"/>
          <w:b/>
        </w:rPr>
        <w:t>2.15. Vremenska razgraničenja</w:t>
      </w:r>
    </w:p>
    <w:p w14:paraId="5A8E3EE9" w14:textId="77777777" w:rsidR="00E955F2" w:rsidRPr="00D33D16" w:rsidRDefault="00E955F2" w:rsidP="00131D13">
      <w:pPr>
        <w:spacing w:after="0" w:line="240" w:lineRule="auto"/>
        <w:jc w:val="both"/>
        <w:rPr>
          <w:rFonts w:ascii="Times New Roman" w:eastAsia="Times New Roman" w:hAnsi="Times New Roman" w:cs="Times New Roman"/>
          <w:b/>
        </w:rPr>
      </w:pPr>
    </w:p>
    <w:p w14:paraId="1E105B45" w14:textId="77777777" w:rsidR="00E955F2" w:rsidRPr="00D33D16" w:rsidRDefault="00E955F2"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Obuhvaćaju unaprijed plaćene troškove, nedospjelu naplatu prihoda, odgođeno plaćanje troškova i prihod budućeg razdoblja.</w:t>
      </w:r>
    </w:p>
    <w:p w14:paraId="748A2BBF" w14:textId="77777777" w:rsidR="00572307" w:rsidRPr="00D33D16" w:rsidRDefault="00572307" w:rsidP="00131D13">
      <w:pPr>
        <w:spacing w:after="0" w:line="240" w:lineRule="auto"/>
        <w:jc w:val="both"/>
        <w:rPr>
          <w:rFonts w:ascii="Times New Roman" w:eastAsia="Times New Roman" w:hAnsi="Times New Roman" w:cs="Times New Roman"/>
        </w:rPr>
      </w:pPr>
    </w:p>
    <w:p w14:paraId="5C630F3B" w14:textId="77777777" w:rsidR="0013432E" w:rsidRDefault="0013432E" w:rsidP="00131D13">
      <w:pPr>
        <w:spacing w:after="0" w:line="240" w:lineRule="auto"/>
        <w:jc w:val="both"/>
        <w:rPr>
          <w:rFonts w:ascii="Times New Roman" w:eastAsia="Times New Roman" w:hAnsi="Times New Roman" w:cs="Times New Roman"/>
          <w:b/>
        </w:rPr>
      </w:pPr>
    </w:p>
    <w:p w14:paraId="7F2027B0" w14:textId="77777777" w:rsidR="00837BA3" w:rsidRDefault="00837BA3" w:rsidP="00131D13">
      <w:pPr>
        <w:spacing w:after="0" w:line="240" w:lineRule="auto"/>
        <w:jc w:val="both"/>
        <w:rPr>
          <w:rFonts w:ascii="Times New Roman" w:eastAsia="Times New Roman" w:hAnsi="Times New Roman" w:cs="Times New Roman"/>
          <w:b/>
        </w:rPr>
      </w:pPr>
    </w:p>
    <w:p w14:paraId="5B74AFF8" w14:textId="77777777" w:rsidR="00422B5C" w:rsidRDefault="00422B5C" w:rsidP="00131D13">
      <w:pPr>
        <w:spacing w:after="0" w:line="240" w:lineRule="auto"/>
        <w:jc w:val="both"/>
        <w:rPr>
          <w:rFonts w:ascii="Times New Roman" w:eastAsia="Times New Roman" w:hAnsi="Times New Roman" w:cs="Times New Roman"/>
          <w:b/>
        </w:rPr>
      </w:pPr>
    </w:p>
    <w:p w14:paraId="02D3EC67" w14:textId="77777777" w:rsidR="00F42FCB" w:rsidRDefault="00F42FCB" w:rsidP="00131D13">
      <w:pPr>
        <w:spacing w:after="0" w:line="240" w:lineRule="auto"/>
        <w:jc w:val="both"/>
        <w:rPr>
          <w:rFonts w:ascii="Times New Roman" w:eastAsia="Times New Roman" w:hAnsi="Times New Roman" w:cs="Times New Roman"/>
          <w:b/>
        </w:rPr>
      </w:pPr>
    </w:p>
    <w:p w14:paraId="1720ECA5" w14:textId="77777777" w:rsidR="00F42FCB" w:rsidRDefault="00F42FCB" w:rsidP="00131D13">
      <w:pPr>
        <w:spacing w:after="0" w:line="240" w:lineRule="auto"/>
        <w:jc w:val="both"/>
        <w:rPr>
          <w:rFonts w:ascii="Times New Roman" w:eastAsia="Times New Roman" w:hAnsi="Times New Roman" w:cs="Times New Roman"/>
          <w:b/>
        </w:rPr>
      </w:pPr>
    </w:p>
    <w:p w14:paraId="65234122" w14:textId="77777777" w:rsidR="00F42FCB" w:rsidRDefault="00F42FCB" w:rsidP="00131D13">
      <w:pPr>
        <w:spacing w:after="0" w:line="240" w:lineRule="auto"/>
        <w:jc w:val="both"/>
        <w:rPr>
          <w:rFonts w:ascii="Times New Roman" w:eastAsia="Times New Roman" w:hAnsi="Times New Roman" w:cs="Times New Roman"/>
          <w:b/>
        </w:rPr>
      </w:pPr>
    </w:p>
    <w:p w14:paraId="14869D9E" w14:textId="77777777" w:rsidR="00F42FCB" w:rsidRDefault="00F42FCB" w:rsidP="00131D13">
      <w:pPr>
        <w:spacing w:after="0" w:line="240" w:lineRule="auto"/>
        <w:jc w:val="both"/>
        <w:rPr>
          <w:rFonts w:ascii="Times New Roman" w:eastAsia="Times New Roman" w:hAnsi="Times New Roman" w:cs="Times New Roman"/>
          <w:b/>
        </w:rPr>
      </w:pPr>
    </w:p>
    <w:p w14:paraId="0B59738B" w14:textId="77777777" w:rsidR="00F42FCB" w:rsidRPr="00C323D2" w:rsidRDefault="00F42FCB" w:rsidP="00131D13">
      <w:pPr>
        <w:spacing w:after="0" w:line="240" w:lineRule="auto"/>
        <w:jc w:val="both"/>
        <w:rPr>
          <w:rFonts w:ascii="Times New Roman" w:eastAsia="Times New Roman" w:hAnsi="Times New Roman" w:cs="Times New Roman"/>
          <w:b/>
        </w:rPr>
      </w:pPr>
    </w:p>
    <w:p w14:paraId="47345755" w14:textId="77777777" w:rsidR="008675AD" w:rsidRDefault="008675AD" w:rsidP="00131D13">
      <w:pPr>
        <w:spacing w:after="0" w:line="240" w:lineRule="auto"/>
        <w:jc w:val="both"/>
        <w:rPr>
          <w:rFonts w:ascii="Times New Roman" w:eastAsia="Times New Roman" w:hAnsi="Times New Roman" w:cs="Times New Roman"/>
          <w:b/>
        </w:rPr>
      </w:pPr>
    </w:p>
    <w:p w14:paraId="3E0734CA" w14:textId="77777777" w:rsidR="008675AD" w:rsidRDefault="008675AD" w:rsidP="00131D13">
      <w:pPr>
        <w:spacing w:after="0" w:line="240" w:lineRule="auto"/>
        <w:jc w:val="both"/>
        <w:rPr>
          <w:rFonts w:ascii="Times New Roman" w:eastAsia="Times New Roman" w:hAnsi="Times New Roman" w:cs="Times New Roman"/>
          <w:b/>
        </w:rPr>
      </w:pPr>
    </w:p>
    <w:p w14:paraId="35810C37" w14:textId="77777777" w:rsidR="008675AD" w:rsidRDefault="008675AD" w:rsidP="00131D13">
      <w:pPr>
        <w:spacing w:after="0" w:line="240" w:lineRule="auto"/>
        <w:jc w:val="both"/>
        <w:rPr>
          <w:rFonts w:ascii="Times New Roman" w:eastAsia="Times New Roman" w:hAnsi="Times New Roman" w:cs="Times New Roman"/>
          <w:b/>
        </w:rPr>
      </w:pPr>
    </w:p>
    <w:p w14:paraId="32BE63DC" w14:textId="77777777" w:rsidR="008675AD" w:rsidRDefault="008675AD" w:rsidP="00131D13">
      <w:pPr>
        <w:spacing w:after="0" w:line="240" w:lineRule="auto"/>
        <w:jc w:val="both"/>
        <w:rPr>
          <w:rFonts w:ascii="Times New Roman" w:eastAsia="Times New Roman" w:hAnsi="Times New Roman" w:cs="Times New Roman"/>
          <w:b/>
        </w:rPr>
      </w:pPr>
    </w:p>
    <w:p w14:paraId="4D09CC82" w14:textId="77777777" w:rsidR="008675AD" w:rsidRDefault="008675AD" w:rsidP="00131D13">
      <w:pPr>
        <w:spacing w:after="0" w:line="240" w:lineRule="auto"/>
        <w:jc w:val="both"/>
        <w:rPr>
          <w:rFonts w:ascii="Times New Roman" w:eastAsia="Times New Roman" w:hAnsi="Times New Roman" w:cs="Times New Roman"/>
          <w:b/>
        </w:rPr>
      </w:pPr>
    </w:p>
    <w:p w14:paraId="0BF76C0D" w14:textId="1EFDC8D5" w:rsidR="008675AD" w:rsidRDefault="008675AD" w:rsidP="008675AD">
      <w:pPr>
        <w:spacing w:after="0" w:line="240" w:lineRule="auto"/>
        <w:jc w:val="right"/>
        <w:rPr>
          <w:rFonts w:ascii="Times New Roman" w:eastAsia="Times New Roman" w:hAnsi="Times New Roman" w:cs="Times New Roman"/>
        </w:rPr>
      </w:pPr>
      <w:r w:rsidRPr="008675AD">
        <w:rPr>
          <w:rFonts w:ascii="Times New Roman" w:eastAsia="Times New Roman" w:hAnsi="Times New Roman" w:cs="Times New Roman"/>
        </w:rPr>
        <w:t>5</w:t>
      </w:r>
    </w:p>
    <w:p w14:paraId="090E51A6" w14:textId="77777777" w:rsidR="008675AD" w:rsidRPr="008675AD" w:rsidRDefault="008675AD" w:rsidP="008675AD">
      <w:pPr>
        <w:spacing w:after="0" w:line="240" w:lineRule="auto"/>
        <w:jc w:val="right"/>
        <w:rPr>
          <w:rFonts w:ascii="Times New Roman" w:eastAsia="Times New Roman" w:hAnsi="Times New Roman" w:cs="Times New Roman"/>
        </w:rPr>
      </w:pPr>
    </w:p>
    <w:p w14:paraId="58740084" w14:textId="77777777" w:rsidR="006B51F5" w:rsidRPr="008675AD" w:rsidRDefault="006B51F5" w:rsidP="00131D13">
      <w:pPr>
        <w:spacing w:after="0" w:line="240" w:lineRule="auto"/>
        <w:jc w:val="both"/>
        <w:rPr>
          <w:rFonts w:ascii="Times New Roman" w:eastAsia="Times New Roman" w:hAnsi="Times New Roman" w:cs="Times New Roman"/>
          <w:b/>
        </w:rPr>
      </w:pPr>
      <w:r w:rsidRPr="008675AD">
        <w:rPr>
          <w:rFonts w:ascii="Times New Roman" w:eastAsia="Times New Roman" w:hAnsi="Times New Roman" w:cs="Times New Roman"/>
          <w:b/>
        </w:rPr>
        <w:lastRenderedPageBreak/>
        <w:t>BILANCA</w:t>
      </w:r>
    </w:p>
    <w:p w14:paraId="7544ADED" w14:textId="77777777" w:rsidR="00131D13" w:rsidRPr="008675AD" w:rsidRDefault="00131D13" w:rsidP="00131D13">
      <w:pPr>
        <w:spacing w:after="0" w:line="240" w:lineRule="auto"/>
        <w:jc w:val="right"/>
        <w:rPr>
          <w:rFonts w:ascii="Times New Roman" w:eastAsia="Times New Roman" w:hAnsi="Times New Roman" w:cs="Times New Roman"/>
        </w:rPr>
      </w:pPr>
    </w:p>
    <w:p w14:paraId="66D16577" w14:textId="77777777" w:rsidR="00131D13" w:rsidRPr="008675AD" w:rsidRDefault="00131D13" w:rsidP="00131D13">
      <w:pPr>
        <w:spacing w:after="0" w:line="240" w:lineRule="auto"/>
        <w:jc w:val="both"/>
        <w:rPr>
          <w:rFonts w:ascii="Times New Roman" w:eastAsia="Times New Roman" w:hAnsi="Times New Roman" w:cs="Times New Roman"/>
          <w:b/>
        </w:rPr>
      </w:pPr>
      <w:r w:rsidRPr="008675AD">
        <w:rPr>
          <w:rFonts w:ascii="Times New Roman" w:eastAsia="Times New Roman" w:hAnsi="Times New Roman" w:cs="Times New Roman"/>
          <w:b/>
        </w:rPr>
        <w:t>Bilješka 3.  Dugotrajna nematerijalna i materijalna  imovina</w:t>
      </w:r>
    </w:p>
    <w:p w14:paraId="1191013D" w14:textId="77777777" w:rsidR="00F42FCB" w:rsidRPr="008675AD" w:rsidRDefault="00F42FCB" w:rsidP="00F42FCB">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p>
    <w:p w14:paraId="002B62AA" w14:textId="77777777" w:rsidR="009F7755" w:rsidRPr="009F7755" w:rsidRDefault="009F7755" w:rsidP="009F7755">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9F7755">
        <w:rPr>
          <w:rFonts w:ascii="Times New Roman" w:eastAsia="Calibri" w:hAnsi="Times New Roman" w:cs="Times New Roman"/>
          <w:b/>
          <w:lang w:eastAsia="hr-HR"/>
        </w:rPr>
        <w:t>Nematerijalna imovina</w:t>
      </w:r>
    </w:p>
    <w:p w14:paraId="1B74D21A" w14:textId="77777777" w:rsidR="009F7755" w:rsidRPr="009F7755" w:rsidRDefault="009F7755" w:rsidP="009F7755">
      <w:pPr>
        <w:spacing w:after="0" w:line="276" w:lineRule="auto"/>
        <w:contextualSpacing/>
        <w:jc w:val="both"/>
        <w:rPr>
          <w:rFonts w:ascii="Times New Roman" w:eastAsia="Calibri" w:hAnsi="Times New Roman" w:cs="Times New Roman"/>
        </w:rPr>
      </w:pPr>
      <w:r w:rsidRPr="009F7755">
        <w:rPr>
          <w:rFonts w:ascii="Times New Roman" w:eastAsia="Calibri" w:hAnsi="Times New Roman" w:cs="Times New Roman"/>
        </w:rPr>
        <w:t xml:space="preserve">Nematerijalna imovina u iznosu od 2.014.047 kn,  na dan 31.12.2022. sastoji se od: </w:t>
      </w:r>
    </w:p>
    <w:p w14:paraId="6BACE7B7" w14:textId="77777777" w:rsidR="009F7755" w:rsidRPr="009F7755" w:rsidRDefault="009F7755" w:rsidP="009F7755">
      <w:pPr>
        <w:numPr>
          <w:ilvl w:val="0"/>
          <w:numId w:val="4"/>
        </w:numPr>
        <w:spacing w:after="0" w:line="276" w:lineRule="auto"/>
        <w:contextualSpacing/>
        <w:jc w:val="both"/>
        <w:rPr>
          <w:rFonts w:ascii="Times New Roman" w:eastAsia="Calibri" w:hAnsi="Times New Roman" w:cs="Times New Roman"/>
        </w:rPr>
      </w:pPr>
      <w:r w:rsidRPr="009F7755">
        <w:rPr>
          <w:rFonts w:ascii="Times New Roman" w:eastAsia="Calibri" w:hAnsi="Times New Roman" w:cs="Times New Roman"/>
        </w:rPr>
        <w:t xml:space="preserve">ulaganje na tuđoj imovini, licence i softver u iznosu od 1.888.539 kn smanjenje u odnosu na 2021. godinu dijelom radi izvršenog rashoda nematerijalne imovine koja se više ne koristi,   te nabave malog značaja u iznosu od 10.700 kn. </w:t>
      </w:r>
    </w:p>
    <w:p w14:paraId="63424F84" w14:textId="77777777" w:rsidR="009F7755" w:rsidRPr="009F7755" w:rsidRDefault="009F7755" w:rsidP="009F7755">
      <w:pPr>
        <w:numPr>
          <w:ilvl w:val="0"/>
          <w:numId w:val="4"/>
        </w:numPr>
        <w:spacing w:after="0" w:line="276" w:lineRule="auto"/>
        <w:contextualSpacing/>
        <w:jc w:val="both"/>
        <w:rPr>
          <w:rFonts w:ascii="Times New Roman" w:eastAsia="Calibri" w:hAnsi="Times New Roman" w:cs="Times New Roman"/>
        </w:rPr>
      </w:pPr>
      <w:r w:rsidRPr="009F7755">
        <w:rPr>
          <w:rFonts w:ascii="Times New Roman" w:eastAsia="Calibri" w:hAnsi="Times New Roman" w:cs="Times New Roman"/>
        </w:rPr>
        <w:t xml:space="preserve">nematerijalnu imovinu u pripremi u iznosu od 125.508 kn (izdaci za daljnje proširenje gradskog groblja u Puli 46.930 kn,  izdaci za izradu dvostrukih malih niša na gradskog groblja u Puli 78.578 kn ). </w:t>
      </w:r>
    </w:p>
    <w:p w14:paraId="6826C08A" w14:textId="77777777" w:rsidR="00F42FCB" w:rsidRPr="008675AD" w:rsidRDefault="00F42FCB" w:rsidP="00F42FCB">
      <w:pPr>
        <w:suppressAutoHyphens/>
        <w:autoSpaceDN w:val="0"/>
        <w:spacing w:after="0" w:line="276" w:lineRule="auto"/>
        <w:textAlignment w:val="baseline"/>
        <w:rPr>
          <w:rFonts w:ascii="Times New Roman" w:eastAsia="Calibri" w:hAnsi="Times New Roman" w:cs="Times New Roman"/>
          <w:b/>
          <w:noProof/>
          <w:color w:val="0F243E"/>
          <w:kern w:val="3"/>
          <w:sz w:val="24"/>
          <w:szCs w:val="24"/>
          <w:lang w:eastAsia="hr-HR"/>
        </w:rPr>
      </w:pPr>
    </w:p>
    <w:p w14:paraId="766EFFAA" w14:textId="77777777" w:rsidR="009F7755" w:rsidRPr="009F7755" w:rsidRDefault="009F7755" w:rsidP="009F7755">
      <w:pPr>
        <w:suppressAutoHyphens/>
        <w:autoSpaceDN w:val="0"/>
        <w:spacing w:after="0" w:line="276" w:lineRule="auto"/>
        <w:textAlignment w:val="baseline"/>
        <w:rPr>
          <w:rFonts w:ascii="Times New Roman" w:eastAsia="Calibri" w:hAnsi="Times New Roman" w:cs="Times New Roman"/>
          <w:b/>
          <w:noProof/>
          <w:color w:val="0F243E"/>
          <w:kern w:val="3"/>
          <w:sz w:val="24"/>
          <w:szCs w:val="24"/>
          <w:lang w:eastAsia="hr-HR"/>
        </w:rPr>
      </w:pPr>
    </w:p>
    <w:p w14:paraId="1B531FA9" w14:textId="77777777" w:rsidR="009F7755" w:rsidRPr="009F7755" w:rsidRDefault="009F7755" w:rsidP="009F7755">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9F7755">
        <w:rPr>
          <w:rFonts w:ascii="Times New Roman" w:eastAsia="Calibri" w:hAnsi="Times New Roman" w:cs="Times New Roman"/>
          <w:b/>
          <w:lang w:eastAsia="hr-HR"/>
        </w:rPr>
        <w:t>Materijalna imovina</w:t>
      </w:r>
    </w:p>
    <w:p w14:paraId="5EF25675" w14:textId="77777777" w:rsidR="009F7755" w:rsidRPr="009F7755" w:rsidRDefault="009F7755" w:rsidP="009F7755">
      <w:pPr>
        <w:spacing w:after="0" w:line="276" w:lineRule="auto"/>
        <w:contextualSpacing/>
        <w:jc w:val="both"/>
        <w:rPr>
          <w:rFonts w:ascii="Times New Roman" w:eastAsia="Calibri" w:hAnsi="Times New Roman" w:cs="Times New Roman"/>
        </w:rPr>
      </w:pPr>
      <w:r w:rsidRPr="009F7755">
        <w:rPr>
          <w:rFonts w:ascii="Times New Roman" w:eastAsia="Calibri" w:hAnsi="Times New Roman" w:cs="Times New Roman"/>
        </w:rPr>
        <w:t>Materijalna imovina je na kraju 2022. godine iznosila 909.386  kn te je za 8% povećana u odnosu na prethodnu godinu. Povećanje materijalne imovine rezultat je nabavom nove materijalne imovine u iznosu od 465.212 kn.</w:t>
      </w:r>
    </w:p>
    <w:p w14:paraId="11EBABF6" w14:textId="77777777" w:rsidR="009F7755" w:rsidRPr="009F7755" w:rsidRDefault="009F7755" w:rsidP="009F7755">
      <w:pPr>
        <w:spacing w:after="0" w:line="276" w:lineRule="auto"/>
        <w:contextualSpacing/>
        <w:jc w:val="both"/>
        <w:rPr>
          <w:rFonts w:ascii="Times New Roman" w:eastAsia="Calibri" w:hAnsi="Times New Roman" w:cs="Times New Roman"/>
        </w:rPr>
      </w:pPr>
      <w:r w:rsidRPr="009F7755">
        <w:rPr>
          <w:rFonts w:ascii="Times New Roman" w:eastAsia="Calibri" w:hAnsi="Times New Roman" w:cs="Times New Roman"/>
        </w:rPr>
        <w:t>U 2022. godini rashodovana je materijalna imovina u iznosu od 5.139 kn.</w:t>
      </w:r>
    </w:p>
    <w:p w14:paraId="1930AD99" w14:textId="77777777" w:rsidR="009F7755" w:rsidRPr="009F7755" w:rsidRDefault="009F7755" w:rsidP="009F7755">
      <w:pPr>
        <w:spacing w:after="240" w:line="276" w:lineRule="auto"/>
        <w:contextualSpacing/>
        <w:jc w:val="both"/>
        <w:rPr>
          <w:rFonts w:ascii="Times New Roman" w:eastAsia="Calibri" w:hAnsi="Times New Roman" w:cs="Times New Roman"/>
        </w:rPr>
      </w:pPr>
    </w:p>
    <w:p w14:paraId="7B808704" w14:textId="77777777" w:rsidR="009F7755" w:rsidRPr="009F7755" w:rsidRDefault="009F7755" w:rsidP="009F7755">
      <w:pPr>
        <w:spacing w:after="240" w:line="276" w:lineRule="auto"/>
        <w:contextualSpacing/>
        <w:jc w:val="both"/>
        <w:rPr>
          <w:rFonts w:ascii="Times New Roman" w:eastAsia="Calibri" w:hAnsi="Times New Roman" w:cs="Times New Roman"/>
        </w:rPr>
      </w:pPr>
      <w:r w:rsidRPr="009F7755">
        <w:rPr>
          <w:rFonts w:ascii="Times New Roman" w:eastAsia="Calibri" w:hAnsi="Times New Roman" w:cs="Times New Roman"/>
        </w:rPr>
        <w:t>Investicije u dugotrajnu imovinu u 2022. godini iznosile su 467.875 kn, a odnose se na nabavu:</w:t>
      </w:r>
    </w:p>
    <w:p w14:paraId="0CC8ACC0" w14:textId="77777777" w:rsidR="009F7755" w:rsidRPr="009F7755" w:rsidRDefault="009F7755" w:rsidP="009F7755">
      <w:pPr>
        <w:numPr>
          <w:ilvl w:val="0"/>
          <w:numId w:val="2"/>
        </w:numPr>
        <w:spacing w:after="0" w:line="276" w:lineRule="auto"/>
        <w:ind w:left="284" w:hanging="284"/>
        <w:contextualSpacing/>
        <w:jc w:val="both"/>
        <w:rPr>
          <w:rFonts w:ascii="Times New Roman" w:eastAsia="Calibri" w:hAnsi="Times New Roman" w:cs="Times New Roman"/>
        </w:rPr>
      </w:pPr>
      <w:r w:rsidRPr="009F7755">
        <w:rPr>
          <w:rFonts w:ascii="Times New Roman" w:eastAsia="Calibri" w:hAnsi="Times New Roman" w:cs="Times New Roman"/>
        </w:rPr>
        <w:t xml:space="preserve">Izdaci za izradu dvostrukih malih niša i </w:t>
      </w:r>
      <w:proofErr w:type="spellStart"/>
      <w:r w:rsidRPr="009F7755">
        <w:rPr>
          <w:rFonts w:ascii="Times New Roman" w:eastAsia="Calibri" w:hAnsi="Times New Roman" w:cs="Times New Roman"/>
        </w:rPr>
        <w:t>zemljaih</w:t>
      </w:r>
      <w:proofErr w:type="spellEnd"/>
      <w:r w:rsidRPr="009F7755">
        <w:rPr>
          <w:rFonts w:ascii="Times New Roman" w:eastAsia="Calibri" w:hAnsi="Times New Roman" w:cs="Times New Roman"/>
        </w:rPr>
        <w:t xml:space="preserve"> grobna mjesta sa </w:t>
      </w:r>
    </w:p>
    <w:p w14:paraId="099804D1" w14:textId="77777777" w:rsidR="009F7755" w:rsidRPr="009F7755" w:rsidRDefault="009F7755" w:rsidP="009F7755">
      <w:pPr>
        <w:spacing w:line="276" w:lineRule="auto"/>
        <w:ind w:left="284"/>
        <w:contextualSpacing/>
        <w:jc w:val="both"/>
        <w:rPr>
          <w:rFonts w:ascii="Times New Roman" w:eastAsia="Calibri" w:hAnsi="Times New Roman" w:cs="Times New Roman"/>
        </w:rPr>
      </w:pPr>
      <w:r w:rsidRPr="009F7755">
        <w:rPr>
          <w:rFonts w:ascii="Times New Roman" w:eastAsia="Calibri" w:hAnsi="Times New Roman" w:cs="Times New Roman"/>
        </w:rPr>
        <w:t xml:space="preserve">temeljima na gradskom groblju u Puli  </w:t>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t xml:space="preserve">    198.865 kn</w:t>
      </w:r>
    </w:p>
    <w:p w14:paraId="27FD68D8" w14:textId="77777777" w:rsidR="009F7755" w:rsidRPr="009F7755" w:rsidRDefault="009F7755" w:rsidP="009F7755">
      <w:pPr>
        <w:numPr>
          <w:ilvl w:val="0"/>
          <w:numId w:val="2"/>
        </w:numPr>
        <w:spacing w:after="0" w:line="276" w:lineRule="auto"/>
        <w:ind w:left="284" w:hanging="284"/>
        <w:contextualSpacing/>
        <w:jc w:val="both"/>
        <w:rPr>
          <w:rFonts w:ascii="Times New Roman" w:eastAsia="Calibri" w:hAnsi="Times New Roman" w:cs="Times New Roman"/>
        </w:rPr>
      </w:pPr>
      <w:r w:rsidRPr="009F7755">
        <w:rPr>
          <w:rFonts w:ascii="Times New Roman" w:eastAsia="Calibri" w:hAnsi="Times New Roman" w:cs="Times New Roman"/>
        </w:rPr>
        <w:t>Izdaci za projektni razvoj gradsko groblje Pula</w:t>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t xml:space="preserve">         4.000 kn</w:t>
      </w:r>
    </w:p>
    <w:p w14:paraId="3FABF2AC" w14:textId="77777777" w:rsidR="009F7755" w:rsidRPr="009F7755" w:rsidRDefault="009F7755" w:rsidP="009F7755">
      <w:pPr>
        <w:numPr>
          <w:ilvl w:val="0"/>
          <w:numId w:val="2"/>
        </w:numPr>
        <w:spacing w:after="0" w:line="276" w:lineRule="auto"/>
        <w:ind w:left="284" w:hanging="284"/>
        <w:contextualSpacing/>
        <w:jc w:val="both"/>
        <w:rPr>
          <w:rFonts w:ascii="Times New Roman" w:eastAsia="Calibri" w:hAnsi="Times New Roman" w:cs="Times New Roman"/>
        </w:rPr>
      </w:pPr>
      <w:r w:rsidRPr="009F7755">
        <w:rPr>
          <w:rFonts w:ascii="Times New Roman" w:eastAsia="Calibri" w:hAnsi="Times New Roman" w:cs="Times New Roman"/>
        </w:rPr>
        <w:t>Licence</w:t>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t xml:space="preserve">       10.170 kn</w:t>
      </w:r>
    </w:p>
    <w:p w14:paraId="42897FE9" w14:textId="77777777" w:rsidR="009F7755" w:rsidRPr="009F7755" w:rsidRDefault="009F7755" w:rsidP="009F7755">
      <w:pPr>
        <w:numPr>
          <w:ilvl w:val="0"/>
          <w:numId w:val="2"/>
        </w:numPr>
        <w:spacing w:after="0" w:line="276" w:lineRule="auto"/>
        <w:ind w:left="284" w:hanging="284"/>
        <w:contextualSpacing/>
        <w:jc w:val="both"/>
        <w:rPr>
          <w:rFonts w:ascii="Times New Roman" w:eastAsia="Calibri" w:hAnsi="Times New Roman" w:cs="Times New Roman"/>
        </w:rPr>
      </w:pPr>
      <w:r w:rsidRPr="009F7755">
        <w:rPr>
          <w:rFonts w:ascii="Times New Roman" w:eastAsia="Calibri" w:hAnsi="Times New Roman" w:cs="Times New Roman"/>
        </w:rPr>
        <w:t>Oprema (elektronička oprema, komunalni kontejneri i ostala oprema)</w:t>
      </w:r>
      <w:r w:rsidRPr="009F7755">
        <w:rPr>
          <w:rFonts w:ascii="Times New Roman" w:eastAsia="Calibri" w:hAnsi="Times New Roman" w:cs="Times New Roman"/>
        </w:rPr>
        <w:tab/>
        <w:t xml:space="preserve">       92.457 kn</w:t>
      </w:r>
    </w:p>
    <w:p w14:paraId="2FFCD5CD" w14:textId="77777777" w:rsidR="009F7755" w:rsidRPr="009F7755" w:rsidRDefault="009F7755" w:rsidP="009F7755">
      <w:pPr>
        <w:numPr>
          <w:ilvl w:val="0"/>
          <w:numId w:val="2"/>
        </w:numPr>
        <w:spacing w:after="0" w:line="276" w:lineRule="auto"/>
        <w:ind w:left="284" w:hanging="284"/>
        <w:contextualSpacing/>
        <w:jc w:val="both"/>
        <w:rPr>
          <w:rFonts w:ascii="Times New Roman" w:eastAsia="Calibri" w:hAnsi="Times New Roman" w:cs="Times New Roman"/>
        </w:rPr>
      </w:pPr>
      <w:r w:rsidRPr="009F7755">
        <w:rPr>
          <w:rFonts w:ascii="Times New Roman" w:eastAsia="Calibri" w:hAnsi="Times New Roman" w:cs="Times New Roman"/>
        </w:rPr>
        <w:t xml:space="preserve">Video nadzor (Uprava, gradsko groblje u Puli, mjesno groblje u </w:t>
      </w:r>
      <w:proofErr w:type="spellStart"/>
      <w:r w:rsidRPr="009F7755">
        <w:rPr>
          <w:rFonts w:ascii="Times New Roman" w:eastAsia="Calibri" w:hAnsi="Times New Roman" w:cs="Times New Roman"/>
        </w:rPr>
        <w:t>Štinjanu</w:t>
      </w:r>
      <w:proofErr w:type="spellEnd"/>
      <w:r w:rsidRPr="009F7755">
        <w:rPr>
          <w:rFonts w:ascii="Times New Roman" w:eastAsia="Calibri" w:hAnsi="Times New Roman" w:cs="Times New Roman"/>
        </w:rPr>
        <w:tab/>
      </w:r>
      <w:r w:rsidRPr="009F7755">
        <w:rPr>
          <w:rFonts w:ascii="Times New Roman" w:eastAsia="Calibri" w:hAnsi="Times New Roman" w:cs="Times New Roman"/>
        </w:rPr>
        <w:tab/>
      </w:r>
    </w:p>
    <w:p w14:paraId="11A2F03E" w14:textId="50F8E940" w:rsidR="009F7755" w:rsidRPr="009F7755" w:rsidRDefault="009F7755" w:rsidP="009F7755">
      <w:pPr>
        <w:spacing w:line="276" w:lineRule="auto"/>
        <w:ind w:left="284"/>
        <w:contextualSpacing/>
        <w:jc w:val="both"/>
        <w:rPr>
          <w:rFonts w:ascii="Times New Roman" w:eastAsia="Calibri" w:hAnsi="Times New Roman" w:cs="Times New Roman"/>
        </w:rPr>
      </w:pPr>
      <w:r w:rsidRPr="009F7755">
        <w:rPr>
          <w:rFonts w:ascii="Times New Roman" w:eastAsia="Calibri" w:hAnsi="Times New Roman" w:cs="Times New Roman"/>
        </w:rPr>
        <w:t>Mornaričko spomen groblje)</w:t>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r>
      <w:r w:rsidRPr="009F7755">
        <w:rPr>
          <w:rFonts w:ascii="Times New Roman" w:eastAsia="Calibri" w:hAnsi="Times New Roman" w:cs="Times New Roman"/>
        </w:rPr>
        <w:tab/>
        <w:t xml:space="preserve">                 </w:t>
      </w:r>
      <w:r w:rsidR="008675AD">
        <w:rPr>
          <w:rFonts w:ascii="Times New Roman" w:eastAsia="Calibri" w:hAnsi="Times New Roman" w:cs="Times New Roman"/>
        </w:rPr>
        <w:t xml:space="preserve">            </w:t>
      </w:r>
      <w:r w:rsidRPr="009F7755">
        <w:rPr>
          <w:rFonts w:ascii="Times New Roman" w:eastAsia="Calibri" w:hAnsi="Times New Roman" w:cs="Times New Roman"/>
        </w:rPr>
        <w:t xml:space="preserve">  110.686 kn</w:t>
      </w:r>
    </w:p>
    <w:p w14:paraId="32E73B0A" w14:textId="78191017" w:rsidR="009F7755" w:rsidRPr="009F7755" w:rsidRDefault="009F7755" w:rsidP="009F7755">
      <w:pPr>
        <w:numPr>
          <w:ilvl w:val="0"/>
          <w:numId w:val="2"/>
        </w:numPr>
        <w:spacing w:after="0" w:line="276" w:lineRule="auto"/>
        <w:ind w:left="284" w:hanging="284"/>
        <w:contextualSpacing/>
        <w:jc w:val="both"/>
        <w:rPr>
          <w:rFonts w:ascii="Times New Roman" w:eastAsia="Calibri" w:hAnsi="Times New Roman" w:cs="Times New Roman"/>
        </w:rPr>
      </w:pPr>
      <w:r w:rsidRPr="009F7755">
        <w:rPr>
          <w:rFonts w:ascii="Times New Roman" w:eastAsia="Calibri" w:hAnsi="Times New Roman" w:cs="Times New Roman"/>
        </w:rPr>
        <w:t>Rashladna komora</w:t>
      </w:r>
      <w:r w:rsidRPr="009F7755">
        <w:rPr>
          <w:rFonts w:ascii="Times New Roman" w:eastAsia="Calibri" w:hAnsi="Times New Roman" w:cs="Times New Roman"/>
        </w:rPr>
        <w:tab/>
        <w:t xml:space="preserve"> (dio opreme nabavljen u 2022. godini)</w:t>
      </w:r>
      <w:r w:rsidRPr="009F7755">
        <w:rPr>
          <w:rFonts w:ascii="Times New Roman" w:eastAsia="Calibri" w:hAnsi="Times New Roman" w:cs="Times New Roman"/>
        </w:rPr>
        <w:tab/>
      </w:r>
      <w:r w:rsidRPr="009F7755">
        <w:rPr>
          <w:rFonts w:ascii="Times New Roman" w:eastAsia="Calibri" w:hAnsi="Times New Roman" w:cs="Times New Roman"/>
        </w:rPr>
        <w:tab/>
      </w:r>
      <w:r w:rsidR="008675AD">
        <w:rPr>
          <w:rFonts w:ascii="Times New Roman" w:eastAsia="Calibri" w:hAnsi="Times New Roman" w:cs="Times New Roman"/>
        </w:rPr>
        <w:t xml:space="preserve">             </w:t>
      </w:r>
      <w:r w:rsidRPr="009F7755">
        <w:rPr>
          <w:rFonts w:ascii="Times New Roman" w:eastAsia="Calibri" w:hAnsi="Times New Roman" w:cs="Times New Roman"/>
        </w:rPr>
        <w:t xml:space="preserve">       51.697 kn</w:t>
      </w:r>
    </w:p>
    <w:p w14:paraId="6BD0B12B" w14:textId="77777777" w:rsidR="009F7755" w:rsidRPr="009F7755" w:rsidRDefault="009F7755" w:rsidP="009F7755">
      <w:pPr>
        <w:spacing w:after="0" w:line="276" w:lineRule="auto"/>
        <w:contextualSpacing/>
        <w:jc w:val="both"/>
        <w:rPr>
          <w:rFonts w:ascii="Times New Roman" w:eastAsia="Calibri" w:hAnsi="Times New Roman" w:cs="Times New Roman"/>
        </w:rPr>
      </w:pPr>
      <w:r w:rsidRPr="009F7755">
        <w:rPr>
          <w:rFonts w:ascii="Times New Roman" w:eastAsia="Calibri" w:hAnsi="Times New Roman" w:cs="Times New Roman"/>
        </w:rPr>
        <w:t>Pozicija Ulaganje u nekretnine ne bilježi promjene u odnosu na prethodnu godinu. Status stana  u Viškoj 24, Pula nije riješen na način da se prenese u knjige Grada s obzirom na primjenu Zakona o upravljanju državnom imovinom. Na temelju Zakona o izmjenama i dopunama Zakona o ustrojstvu i djelokrugu ministarstava i drugih središnjih tijela državne uprave (NN 104/16), ova nekretnina u djelokrugu je Ministarstva državne imovine.</w:t>
      </w:r>
    </w:p>
    <w:p w14:paraId="5185B581" w14:textId="77777777" w:rsidR="00F42FCB" w:rsidRPr="008675AD" w:rsidRDefault="00F42FCB" w:rsidP="00F42FCB">
      <w:pPr>
        <w:spacing w:after="0" w:line="276" w:lineRule="auto"/>
        <w:contextualSpacing/>
        <w:jc w:val="both"/>
        <w:rPr>
          <w:rFonts w:ascii="Times New Roman" w:eastAsia="Calibri" w:hAnsi="Times New Roman" w:cs="Times New Roman"/>
          <w:color w:val="FF0000"/>
        </w:rPr>
      </w:pPr>
    </w:p>
    <w:p w14:paraId="69643343" w14:textId="77777777" w:rsidR="009F7755" w:rsidRPr="009F7755" w:rsidRDefault="009F7755" w:rsidP="009F7755">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9F7755">
        <w:rPr>
          <w:rFonts w:ascii="Times New Roman" w:eastAsia="Calibri" w:hAnsi="Times New Roman" w:cs="Times New Roman"/>
          <w:b/>
          <w:lang w:eastAsia="hr-HR"/>
        </w:rPr>
        <w:t>Financijska imovina</w:t>
      </w:r>
    </w:p>
    <w:p w14:paraId="440F900B" w14:textId="77777777" w:rsidR="009F7755" w:rsidRPr="009F7755" w:rsidRDefault="009F7755" w:rsidP="009F7755">
      <w:pPr>
        <w:tabs>
          <w:tab w:val="right" w:pos="5103"/>
        </w:tabs>
        <w:suppressAutoHyphens/>
        <w:autoSpaceDN w:val="0"/>
        <w:spacing w:after="0" w:line="276" w:lineRule="auto"/>
        <w:jc w:val="both"/>
        <w:textAlignment w:val="baseline"/>
        <w:rPr>
          <w:rFonts w:ascii="Times New Roman" w:eastAsia="Calibri" w:hAnsi="Times New Roman" w:cs="Times New Roman"/>
          <w:lang w:eastAsia="hr-HR"/>
        </w:rPr>
      </w:pPr>
      <w:r w:rsidRPr="009F7755">
        <w:rPr>
          <w:rFonts w:ascii="Times New Roman" w:eastAsia="Calibri" w:hAnsi="Times New Roman" w:cs="Times New Roman"/>
          <w:lang w:eastAsia="hr-HR"/>
        </w:rPr>
        <w:t xml:space="preserve">Iskazana su ulaganja, udružena sredstva za izgradnju vodovoda </w:t>
      </w:r>
      <w:proofErr w:type="spellStart"/>
      <w:r w:rsidRPr="009F7755">
        <w:rPr>
          <w:rFonts w:ascii="Times New Roman" w:eastAsia="Calibri" w:hAnsi="Times New Roman" w:cs="Times New Roman"/>
          <w:lang w:eastAsia="hr-HR"/>
        </w:rPr>
        <w:t>Butoniga</w:t>
      </w:r>
      <w:proofErr w:type="spellEnd"/>
      <w:r w:rsidRPr="009F7755">
        <w:rPr>
          <w:rFonts w:ascii="Times New Roman" w:eastAsia="Calibri" w:hAnsi="Times New Roman" w:cs="Times New Roman"/>
          <w:lang w:eastAsia="hr-HR"/>
        </w:rPr>
        <w:t xml:space="preserve"> u iznosu od 84 kn.</w:t>
      </w:r>
    </w:p>
    <w:p w14:paraId="73E81EC5" w14:textId="77777777" w:rsidR="009F7755" w:rsidRPr="008675AD" w:rsidRDefault="009F7755" w:rsidP="00F42FCB">
      <w:pPr>
        <w:spacing w:after="0" w:line="276" w:lineRule="auto"/>
        <w:contextualSpacing/>
        <w:jc w:val="both"/>
        <w:rPr>
          <w:rFonts w:ascii="Times New Roman" w:eastAsia="Calibri" w:hAnsi="Times New Roman" w:cs="Times New Roman"/>
          <w:color w:val="FF0000"/>
        </w:rPr>
      </w:pPr>
    </w:p>
    <w:p w14:paraId="6656AF88" w14:textId="77777777" w:rsidR="00131D13" w:rsidRPr="008675AD" w:rsidRDefault="00131D13" w:rsidP="00131D13">
      <w:pPr>
        <w:keepNext/>
        <w:widowControl w:val="0"/>
        <w:spacing w:after="0" w:line="280" w:lineRule="exact"/>
        <w:jc w:val="both"/>
        <w:rPr>
          <w:rFonts w:ascii="Times New Roman" w:eastAsia="Times New Roman" w:hAnsi="Times New Roman" w:cs="Times New Roman"/>
          <w:b/>
        </w:rPr>
      </w:pPr>
      <w:r w:rsidRPr="008675AD">
        <w:rPr>
          <w:rFonts w:ascii="Times New Roman" w:eastAsia="Times New Roman" w:hAnsi="Times New Roman" w:cs="Times New Roman"/>
          <w:b/>
        </w:rPr>
        <w:t>Bilješka 4. Zalihe</w:t>
      </w:r>
    </w:p>
    <w:p w14:paraId="4DC668A4" w14:textId="77777777" w:rsidR="00F42FCB" w:rsidRPr="008675AD" w:rsidRDefault="00F42FCB" w:rsidP="00F42FCB">
      <w:pPr>
        <w:spacing w:after="0" w:line="276" w:lineRule="auto"/>
        <w:contextualSpacing/>
        <w:jc w:val="both"/>
        <w:rPr>
          <w:rFonts w:ascii="Times New Roman" w:eastAsia="Calibri" w:hAnsi="Times New Roman" w:cs="Times New Roman"/>
          <w:bCs/>
        </w:rPr>
      </w:pPr>
    </w:p>
    <w:p w14:paraId="63FFB71C" w14:textId="77777777" w:rsidR="008F3E44" w:rsidRPr="008F3E44" w:rsidRDefault="008F3E44" w:rsidP="008F3E44">
      <w:pPr>
        <w:spacing w:after="0" w:line="276" w:lineRule="auto"/>
        <w:contextualSpacing/>
        <w:jc w:val="both"/>
        <w:rPr>
          <w:rFonts w:ascii="Times New Roman" w:eastAsia="Calibri" w:hAnsi="Times New Roman" w:cs="Times New Roman"/>
          <w:bCs/>
        </w:rPr>
      </w:pPr>
      <w:r w:rsidRPr="008F3E44">
        <w:rPr>
          <w:rFonts w:ascii="Times New Roman" w:eastAsia="Calibri" w:hAnsi="Times New Roman" w:cs="Times New Roman"/>
          <w:bCs/>
        </w:rPr>
        <w:t xml:space="preserve">Na kraju 2022. godine kratkotrajna imovina iznosi 10.099.777 kn, a odnosi se zalihe, potraživanja i na novac u banci i blagajni. </w:t>
      </w:r>
    </w:p>
    <w:p w14:paraId="64208AE8" w14:textId="77777777" w:rsidR="008F3E44" w:rsidRPr="008F3E44" w:rsidRDefault="008F3E44" w:rsidP="008F3E44">
      <w:pPr>
        <w:spacing w:after="0" w:line="276" w:lineRule="auto"/>
        <w:contextualSpacing/>
        <w:jc w:val="both"/>
        <w:rPr>
          <w:rFonts w:ascii="Times New Roman" w:eastAsia="Calibri" w:hAnsi="Times New Roman" w:cs="Times New Roman"/>
          <w:bCs/>
        </w:rPr>
      </w:pPr>
    </w:p>
    <w:p w14:paraId="4F7DC909" w14:textId="77777777" w:rsidR="008F3E44" w:rsidRPr="008F3E44" w:rsidRDefault="008F3E44" w:rsidP="008F3E44">
      <w:pPr>
        <w:spacing w:after="0" w:line="276" w:lineRule="auto"/>
        <w:contextualSpacing/>
        <w:jc w:val="both"/>
        <w:rPr>
          <w:rFonts w:ascii="Times New Roman" w:eastAsia="Calibri" w:hAnsi="Times New Roman" w:cs="Times New Roman"/>
          <w:bCs/>
        </w:rPr>
      </w:pPr>
      <w:r w:rsidRPr="008F3E44">
        <w:rPr>
          <w:rFonts w:ascii="Times New Roman" w:eastAsia="Calibri" w:hAnsi="Times New Roman" w:cs="Times New Roman"/>
          <w:bCs/>
        </w:rPr>
        <w:t>U odnosu na posljednji dan prethodne godine bilježi smanjenje od 1%, a utjecaj na smanjenje kratkotrajne imovine imala je pozicija zaliha.</w:t>
      </w:r>
    </w:p>
    <w:p w14:paraId="2796478C" w14:textId="77777777" w:rsidR="008F3E44" w:rsidRPr="008F3E44" w:rsidRDefault="008F3E44" w:rsidP="008F3E44">
      <w:pPr>
        <w:spacing w:after="0" w:line="276" w:lineRule="auto"/>
        <w:contextualSpacing/>
        <w:jc w:val="both"/>
        <w:rPr>
          <w:rFonts w:ascii="Times New Roman" w:eastAsia="Calibri" w:hAnsi="Times New Roman" w:cs="Times New Roman"/>
          <w:bCs/>
        </w:rPr>
      </w:pPr>
      <w:r w:rsidRPr="008F3E44">
        <w:rPr>
          <w:rFonts w:ascii="Times New Roman" w:eastAsia="Calibri" w:hAnsi="Times New Roman" w:cs="Times New Roman"/>
          <w:bCs/>
        </w:rPr>
        <w:t xml:space="preserve"> </w:t>
      </w:r>
    </w:p>
    <w:p w14:paraId="373CF9E0" w14:textId="77777777" w:rsidR="008675AD" w:rsidRDefault="008675AD" w:rsidP="008675AD">
      <w:pPr>
        <w:spacing w:after="0" w:line="276" w:lineRule="auto"/>
        <w:contextualSpacing/>
        <w:jc w:val="right"/>
        <w:rPr>
          <w:rFonts w:ascii="Times New Roman" w:eastAsia="Calibri" w:hAnsi="Times New Roman" w:cs="Times New Roman"/>
          <w:bCs/>
        </w:rPr>
      </w:pPr>
    </w:p>
    <w:p w14:paraId="748B4C5F" w14:textId="055EFE9D" w:rsidR="008675AD" w:rsidRPr="008675AD" w:rsidRDefault="008675AD" w:rsidP="008675AD">
      <w:pPr>
        <w:spacing w:after="0" w:line="276" w:lineRule="auto"/>
        <w:contextualSpacing/>
        <w:jc w:val="right"/>
        <w:rPr>
          <w:rFonts w:ascii="Times New Roman" w:eastAsia="Calibri" w:hAnsi="Times New Roman" w:cs="Times New Roman"/>
          <w:bCs/>
        </w:rPr>
      </w:pPr>
      <w:r w:rsidRPr="008675AD">
        <w:rPr>
          <w:rFonts w:ascii="Times New Roman" w:eastAsia="Calibri" w:hAnsi="Times New Roman" w:cs="Times New Roman"/>
          <w:bCs/>
        </w:rPr>
        <w:t>6</w:t>
      </w:r>
    </w:p>
    <w:p w14:paraId="4B438134" w14:textId="77777777" w:rsidR="008F3E44" w:rsidRPr="008F3E44" w:rsidRDefault="008F3E44" w:rsidP="008F3E44">
      <w:pPr>
        <w:spacing w:after="0" w:line="276" w:lineRule="auto"/>
        <w:contextualSpacing/>
        <w:jc w:val="both"/>
        <w:rPr>
          <w:rFonts w:ascii="Times New Roman" w:eastAsia="Calibri" w:hAnsi="Times New Roman" w:cs="Times New Roman"/>
          <w:bCs/>
        </w:rPr>
      </w:pPr>
      <w:r w:rsidRPr="008F3E44">
        <w:rPr>
          <w:rFonts w:ascii="Times New Roman" w:eastAsia="Calibri" w:hAnsi="Times New Roman" w:cs="Times New Roman"/>
          <w:bCs/>
        </w:rPr>
        <w:lastRenderedPageBreak/>
        <w:t>Društvo zalihe iskazuje po trošku nabave. Zalihe sitnog inventara otpisuju se jednokratno, dok  se utrošci istih rasterećuju metodom prosječno ponderirane nabavne cijene. Nadalje, zalihe prodane trgovačke robe Društvo iskazuje po prodajnim cijenama sa PDV-om i razlikom u cijeni, a prilikom prodaje iste trošak zaliha se utvrđuje putem razlike prodajne cijene, PDV-a i uključene razlike u cijeni.</w:t>
      </w:r>
    </w:p>
    <w:p w14:paraId="77C07C55" w14:textId="77777777" w:rsidR="008F3E44" w:rsidRPr="008F3E44" w:rsidRDefault="008F3E44" w:rsidP="008F3E44">
      <w:pPr>
        <w:spacing w:after="0" w:line="276" w:lineRule="auto"/>
        <w:contextualSpacing/>
        <w:jc w:val="both"/>
        <w:rPr>
          <w:rFonts w:ascii="Times New Roman" w:eastAsia="Calibri" w:hAnsi="Times New Roman" w:cs="Times New Roman"/>
          <w:bCs/>
        </w:rPr>
      </w:pPr>
    </w:p>
    <w:p w14:paraId="2E6EBDEB" w14:textId="77777777" w:rsidR="008F3E44" w:rsidRPr="008F3E44" w:rsidRDefault="008F3E44" w:rsidP="008F3E44">
      <w:pPr>
        <w:spacing w:after="0" w:line="276" w:lineRule="auto"/>
        <w:contextualSpacing/>
        <w:jc w:val="both"/>
        <w:rPr>
          <w:rFonts w:ascii="Times New Roman" w:eastAsia="Calibri" w:hAnsi="Times New Roman" w:cs="Times New Roman"/>
          <w:bCs/>
        </w:rPr>
      </w:pPr>
      <w:r w:rsidRPr="008F3E44">
        <w:rPr>
          <w:rFonts w:ascii="Times New Roman" w:eastAsia="Calibri" w:hAnsi="Times New Roman" w:cs="Times New Roman"/>
          <w:bCs/>
        </w:rPr>
        <w:t>Na dan 31.12.2022. godine struktura zaliha (4.949.298 kn) je bila sljedeća:</w:t>
      </w:r>
    </w:p>
    <w:p w14:paraId="6978AFB8" w14:textId="77777777" w:rsidR="008F3E44" w:rsidRPr="008F3E44" w:rsidRDefault="008F3E44" w:rsidP="008F3E44">
      <w:pPr>
        <w:spacing w:after="0" w:line="276" w:lineRule="auto"/>
        <w:contextualSpacing/>
        <w:jc w:val="both"/>
        <w:rPr>
          <w:rFonts w:ascii="Times New Roman" w:eastAsia="Calibri" w:hAnsi="Times New Roman" w:cs="Times New Roman"/>
          <w:bCs/>
        </w:rPr>
      </w:pPr>
    </w:p>
    <w:tbl>
      <w:tblPr>
        <w:tblW w:w="4958" w:type="pct"/>
        <w:jc w:val="center"/>
        <w:tblLook w:val="04A0" w:firstRow="1" w:lastRow="0" w:firstColumn="1" w:lastColumn="0" w:noHBand="0" w:noVBand="1"/>
      </w:tblPr>
      <w:tblGrid>
        <w:gridCol w:w="6195"/>
        <w:gridCol w:w="1394"/>
        <w:gridCol w:w="1392"/>
      </w:tblGrid>
      <w:tr w:rsidR="008F3E44" w:rsidRPr="008F3E44" w14:paraId="209A4720" w14:textId="77777777" w:rsidTr="00315BD3">
        <w:trPr>
          <w:trHeight w:val="315"/>
          <w:jc w:val="center"/>
        </w:trPr>
        <w:tc>
          <w:tcPr>
            <w:tcW w:w="3449" w:type="pct"/>
            <w:tcBorders>
              <w:top w:val="nil"/>
              <w:left w:val="nil"/>
              <w:bottom w:val="nil"/>
              <w:right w:val="single" w:sz="12" w:space="0" w:color="FFFFFF"/>
            </w:tcBorders>
            <w:shd w:val="clear" w:color="auto" w:fill="F2F2F2"/>
            <w:vAlign w:val="center"/>
          </w:tcPr>
          <w:p w14:paraId="55FA0D65" w14:textId="77777777" w:rsidR="008F3E44" w:rsidRPr="008F3E44" w:rsidRDefault="008F3E44" w:rsidP="008F3E44">
            <w:pPr>
              <w:spacing w:after="0" w:line="240" w:lineRule="auto"/>
              <w:rPr>
                <w:rFonts w:ascii="Times New Roman" w:eastAsia="Times New Roman" w:hAnsi="Times New Roman" w:cs="Times New Roman"/>
                <w:sz w:val="18"/>
                <w:szCs w:val="18"/>
                <w:lang w:eastAsia="hr-HR"/>
              </w:rPr>
            </w:pPr>
            <w:r w:rsidRPr="008F3E44">
              <w:rPr>
                <w:rFonts w:ascii="Times New Roman" w:eastAsia="Times New Roman" w:hAnsi="Times New Roman" w:cs="Times New Roman"/>
                <w:sz w:val="18"/>
                <w:szCs w:val="18"/>
                <w:lang w:eastAsia="hr-HR"/>
              </w:rPr>
              <w:t>Sirovine i materijal u skladištu (pogrebna oprema i Radiona vijenaca)</w:t>
            </w:r>
          </w:p>
        </w:tc>
        <w:tc>
          <w:tcPr>
            <w:tcW w:w="776" w:type="pct"/>
          </w:tcPr>
          <w:p w14:paraId="74E0B694" w14:textId="77777777" w:rsidR="008F3E44" w:rsidRPr="008F3E44" w:rsidRDefault="008F3E44" w:rsidP="008F3E44">
            <w:pPr>
              <w:spacing w:after="0" w:line="276" w:lineRule="auto"/>
              <w:contextualSpacing/>
              <w:jc w:val="center"/>
              <w:rPr>
                <w:rFonts w:ascii="Times New Roman" w:eastAsia="Calibri" w:hAnsi="Times New Roman" w:cs="Times New Roman"/>
              </w:rPr>
            </w:pPr>
            <w:r w:rsidRPr="008F3E44">
              <w:rPr>
                <w:rFonts w:ascii="Times New Roman" w:eastAsia="Calibri" w:hAnsi="Times New Roman" w:cs="Times New Roman"/>
              </w:rPr>
              <w:t>361.824</w:t>
            </w:r>
          </w:p>
        </w:tc>
        <w:tc>
          <w:tcPr>
            <w:tcW w:w="775" w:type="pct"/>
            <w:tcBorders>
              <w:top w:val="nil"/>
              <w:left w:val="nil"/>
              <w:bottom w:val="nil"/>
              <w:right w:val="single" w:sz="12" w:space="0" w:color="FFFFFF"/>
            </w:tcBorders>
            <w:shd w:val="clear" w:color="auto" w:fill="F2F2F2"/>
            <w:vAlign w:val="center"/>
          </w:tcPr>
          <w:p w14:paraId="6BC93244" w14:textId="77777777" w:rsidR="008F3E44" w:rsidRPr="008F3E44" w:rsidRDefault="008F3E44" w:rsidP="008F3E44">
            <w:pPr>
              <w:spacing w:after="0" w:line="240" w:lineRule="auto"/>
              <w:jc w:val="center"/>
              <w:rPr>
                <w:rFonts w:ascii="Times New Roman" w:eastAsia="Times New Roman" w:hAnsi="Times New Roman" w:cs="Times New Roman"/>
                <w:color w:val="FF0000"/>
                <w:sz w:val="18"/>
                <w:szCs w:val="18"/>
                <w:lang w:eastAsia="hr-HR"/>
              </w:rPr>
            </w:pPr>
          </w:p>
        </w:tc>
      </w:tr>
      <w:tr w:rsidR="008F3E44" w:rsidRPr="008F3E44" w14:paraId="175A14E5" w14:textId="77777777" w:rsidTr="00315BD3">
        <w:trPr>
          <w:trHeight w:val="315"/>
          <w:jc w:val="center"/>
        </w:trPr>
        <w:tc>
          <w:tcPr>
            <w:tcW w:w="3449" w:type="pct"/>
            <w:tcBorders>
              <w:top w:val="nil"/>
              <w:left w:val="nil"/>
              <w:bottom w:val="nil"/>
              <w:right w:val="single" w:sz="12" w:space="0" w:color="FFFFFF"/>
            </w:tcBorders>
            <w:shd w:val="clear" w:color="auto" w:fill="auto"/>
            <w:vAlign w:val="center"/>
          </w:tcPr>
          <w:p w14:paraId="59A76A2B" w14:textId="77777777" w:rsidR="008F3E44" w:rsidRPr="008F3E44" w:rsidRDefault="008F3E44" w:rsidP="008F3E44">
            <w:pPr>
              <w:spacing w:after="0" w:line="240" w:lineRule="auto"/>
              <w:rPr>
                <w:rFonts w:ascii="Times New Roman" w:eastAsia="Times New Roman" w:hAnsi="Times New Roman" w:cs="Times New Roman"/>
                <w:sz w:val="18"/>
                <w:szCs w:val="18"/>
                <w:lang w:eastAsia="hr-HR"/>
              </w:rPr>
            </w:pPr>
            <w:r w:rsidRPr="008F3E44">
              <w:rPr>
                <w:rFonts w:ascii="Times New Roman" w:eastAsia="Times New Roman" w:hAnsi="Times New Roman" w:cs="Times New Roman"/>
                <w:sz w:val="18"/>
                <w:szCs w:val="18"/>
                <w:lang w:eastAsia="hr-HR"/>
              </w:rPr>
              <w:t>Sitan inventar u upotrebi</w:t>
            </w:r>
          </w:p>
        </w:tc>
        <w:tc>
          <w:tcPr>
            <w:tcW w:w="776" w:type="pct"/>
          </w:tcPr>
          <w:p w14:paraId="06A0E1C5" w14:textId="77777777" w:rsidR="008F3E44" w:rsidRPr="008F3E44" w:rsidRDefault="008F3E44" w:rsidP="008F3E44">
            <w:pPr>
              <w:spacing w:after="0" w:line="276" w:lineRule="auto"/>
              <w:contextualSpacing/>
              <w:jc w:val="center"/>
              <w:rPr>
                <w:rFonts w:ascii="Times New Roman" w:eastAsia="Calibri" w:hAnsi="Times New Roman" w:cs="Times New Roman"/>
              </w:rPr>
            </w:pPr>
            <w:r w:rsidRPr="008F3E44">
              <w:rPr>
                <w:rFonts w:ascii="Times New Roman" w:eastAsia="Calibri" w:hAnsi="Times New Roman" w:cs="Times New Roman"/>
              </w:rPr>
              <w:t>597.173</w:t>
            </w:r>
          </w:p>
        </w:tc>
        <w:tc>
          <w:tcPr>
            <w:tcW w:w="775" w:type="pct"/>
            <w:tcBorders>
              <w:top w:val="nil"/>
              <w:left w:val="nil"/>
              <w:bottom w:val="nil"/>
              <w:right w:val="single" w:sz="12" w:space="0" w:color="FFFFFF"/>
            </w:tcBorders>
            <w:shd w:val="clear" w:color="auto" w:fill="auto"/>
            <w:vAlign w:val="center"/>
          </w:tcPr>
          <w:p w14:paraId="6501F67D" w14:textId="77777777" w:rsidR="008F3E44" w:rsidRPr="008F3E44" w:rsidRDefault="008F3E44" w:rsidP="008F3E44">
            <w:pPr>
              <w:spacing w:after="0" w:line="240" w:lineRule="auto"/>
              <w:jc w:val="center"/>
              <w:rPr>
                <w:rFonts w:ascii="Times New Roman" w:eastAsia="Times New Roman" w:hAnsi="Times New Roman" w:cs="Times New Roman"/>
                <w:color w:val="FF0000"/>
                <w:sz w:val="18"/>
                <w:szCs w:val="18"/>
                <w:lang w:eastAsia="hr-HR"/>
              </w:rPr>
            </w:pPr>
          </w:p>
        </w:tc>
      </w:tr>
      <w:tr w:rsidR="008F3E44" w:rsidRPr="008F3E44" w14:paraId="09C2225F" w14:textId="77777777" w:rsidTr="00315BD3">
        <w:trPr>
          <w:trHeight w:val="300"/>
          <w:jc w:val="center"/>
        </w:trPr>
        <w:tc>
          <w:tcPr>
            <w:tcW w:w="3449" w:type="pct"/>
            <w:tcBorders>
              <w:top w:val="nil"/>
              <w:left w:val="nil"/>
              <w:bottom w:val="nil"/>
              <w:right w:val="single" w:sz="12" w:space="0" w:color="FFFFFF"/>
            </w:tcBorders>
            <w:shd w:val="clear" w:color="auto" w:fill="F2F2F2"/>
            <w:vAlign w:val="center"/>
          </w:tcPr>
          <w:p w14:paraId="75E055DA" w14:textId="77777777" w:rsidR="008F3E44" w:rsidRPr="008F3E44" w:rsidRDefault="008F3E44" w:rsidP="008F3E44">
            <w:pPr>
              <w:spacing w:after="0" w:line="240" w:lineRule="auto"/>
              <w:rPr>
                <w:rFonts w:ascii="Times New Roman" w:eastAsia="Times New Roman" w:hAnsi="Times New Roman" w:cs="Times New Roman"/>
                <w:sz w:val="18"/>
                <w:szCs w:val="18"/>
                <w:lang w:eastAsia="hr-HR"/>
              </w:rPr>
            </w:pPr>
            <w:r w:rsidRPr="008F3E44">
              <w:rPr>
                <w:rFonts w:ascii="Times New Roman" w:eastAsia="Times New Roman" w:hAnsi="Times New Roman" w:cs="Times New Roman"/>
                <w:sz w:val="18"/>
                <w:szCs w:val="18"/>
                <w:lang w:eastAsia="hr-HR"/>
              </w:rPr>
              <w:t>Ispravak vrijednosti sitnog inventara</w:t>
            </w:r>
          </w:p>
        </w:tc>
        <w:tc>
          <w:tcPr>
            <w:tcW w:w="776" w:type="pct"/>
          </w:tcPr>
          <w:p w14:paraId="3A4A8308" w14:textId="77777777" w:rsidR="008F3E44" w:rsidRPr="008F3E44" w:rsidRDefault="008F3E44" w:rsidP="008F3E44">
            <w:pPr>
              <w:spacing w:after="0" w:line="276" w:lineRule="auto"/>
              <w:contextualSpacing/>
              <w:jc w:val="center"/>
              <w:rPr>
                <w:rFonts w:ascii="Times New Roman" w:eastAsia="Calibri" w:hAnsi="Times New Roman" w:cs="Times New Roman"/>
              </w:rPr>
            </w:pPr>
            <w:r w:rsidRPr="008F3E44">
              <w:rPr>
                <w:rFonts w:ascii="Times New Roman" w:eastAsia="Calibri" w:hAnsi="Times New Roman" w:cs="Times New Roman"/>
              </w:rPr>
              <w:t>(597.173)</w:t>
            </w:r>
          </w:p>
        </w:tc>
        <w:tc>
          <w:tcPr>
            <w:tcW w:w="775" w:type="pct"/>
            <w:tcBorders>
              <w:top w:val="nil"/>
              <w:left w:val="nil"/>
              <w:bottom w:val="nil"/>
              <w:right w:val="single" w:sz="12" w:space="0" w:color="FFFFFF"/>
            </w:tcBorders>
            <w:shd w:val="clear" w:color="auto" w:fill="F2F2F2"/>
            <w:vAlign w:val="center"/>
          </w:tcPr>
          <w:p w14:paraId="5791A70A" w14:textId="77777777" w:rsidR="008F3E44" w:rsidRPr="008F3E44" w:rsidRDefault="008F3E44" w:rsidP="008F3E44">
            <w:pPr>
              <w:spacing w:after="0" w:line="240" w:lineRule="auto"/>
              <w:jc w:val="center"/>
              <w:rPr>
                <w:rFonts w:ascii="Times New Roman" w:eastAsia="Times New Roman" w:hAnsi="Times New Roman" w:cs="Times New Roman"/>
                <w:color w:val="FF0000"/>
                <w:sz w:val="18"/>
                <w:szCs w:val="18"/>
                <w:lang w:eastAsia="hr-HR"/>
              </w:rPr>
            </w:pPr>
          </w:p>
        </w:tc>
      </w:tr>
      <w:tr w:rsidR="008F3E44" w:rsidRPr="008F3E44" w14:paraId="1FD650B7" w14:textId="77777777" w:rsidTr="00315BD3">
        <w:trPr>
          <w:trHeight w:val="315"/>
          <w:jc w:val="center"/>
        </w:trPr>
        <w:tc>
          <w:tcPr>
            <w:tcW w:w="3449" w:type="pct"/>
            <w:tcBorders>
              <w:top w:val="nil"/>
              <w:left w:val="nil"/>
              <w:bottom w:val="nil"/>
              <w:right w:val="single" w:sz="12" w:space="0" w:color="FFFFFF"/>
            </w:tcBorders>
            <w:shd w:val="clear" w:color="auto" w:fill="auto"/>
            <w:vAlign w:val="center"/>
          </w:tcPr>
          <w:p w14:paraId="77AD5406" w14:textId="77777777" w:rsidR="008F3E44" w:rsidRPr="008F3E44" w:rsidRDefault="008F3E44" w:rsidP="008F3E44">
            <w:pPr>
              <w:spacing w:after="0" w:line="240" w:lineRule="auto"/>
              <w:rPr>
                <w:rFonts w:ascii="Times New Roman" w:eastAsia="Times New Roman" w:hAnsi="Times New Roman" w:cs="Times New Roman"/>
                <w:sz w:val="18"/>
                <w:szCs w:val="18"/>
                <w:lang w:eastAsia="hr-HR"/>
              </w:rPr>
            </w:pPr>
            <w:r w:rsidRPr="008F3E44">
              <w:rPr>
                <w:rFonts w:ascii="Times New Roman" w:eastAsia="Times New Roman" w:hAnsi="Times New Roman" w:cs="Times New Roman"/>
                <w:sz w:val="18"/>
                <w:szCs w:val="18"/>
                <w:lang w:eastAsia="hr-HR"/>
              </w:rPr>
              <w:t xml:space="preserve">Grobna mjesta </w:t>
            </w:r>
          </w:p>
        </w:tc>
        <w:tc>
          <w:tcPr>
            <w:tcW w:w="776" w:type="pct"/>
          </w:tcPr>
          <w:p w14:paraId="4F7D6F40" w14:textId="77777777" w:rsidR="008F3E44" w:rsidRPr="008F3E44" w:rsidRDefault="008F3E44" w:rsidP="008F3E44">
            <w:pPr>
              <w:spacing w:after="0" w:line="276" w:lineRule="auto"/>
              <w:contextualSpacing/>
              <w:jc w:val="center"/>
              <w:rPr>
                <w:rFonts w:ascii="Times New Roman" w:eastAsia="Calibri" w:hAnsi="Times New Roman" w:cs="Times New Roman"/>
              </w:rPr>
            </w:pPr>
            <w:r w:rsidRPr="008F3E44">
              <w:rPr>
                <w:rFonts w:ascii="Times New Roman" w:eastAsia="Calibri" w:hAnsi="Times New Roman" w:cs="Times New Roman"/>
              </w:rPr>
              <w:t>6.069.328</w:t>
            </w:r>
          </w:p>
        </w:tc>
        <w:tc>
          <w:tcPr>
            <w:tcW w:w="775" w:type="pct"/>
            <w:tcBorders>
              <w:top w:val="nil"/>
              <w:left w:val="nil"/>
              <w:bottom w:val="nil"/>
              <w:right w:val="single" w:sz="12" w:space="0" w:color="FFFFFF"/>
            </w:tcBorders>
            <w:shd w:val="clear" w:color="auto" w:fill="auto"/>
            <w:vAlign w:val="center"/>
          </w:tcPr>
          <w:p w14:paraId="1A21DADF" w14:textId="77777777" w:rsidR="008F3E44" w:rsidRPr="008F3E44" w:rsidRDefault="008F3E44" w:rsidP="008F3E44">
            <w:pPr>
              <w:spacing w:after="0" w:line="240" w:lineRule="auto"/>
              <w:jc w:val="center"/>
              <w:rPr>
                <w:rFonts w:ascii="Times New Roman" w:eastAsia="Times New Roman" w:hAnsi="Times New Roman" w:cs="Times New Roman"/>
                <w:color w:val="FF0000"/>
                <w:sz w:val="18"/>
                <w:szCs w:val="18"/>
                <w:lang w:eastAsia="hr-HR"/>
              </w:rPr>
            </w:pPr>
          </w:p>
        </w:tc>
      </w:tr>
      <w:tr w:rsidR="008F3E44" w:rsidRPr="008F3E44" w14:paraId="72B0D5DA" w14:textId="77777777" w:rsidTr="00315BD3">
        <w:trPr>
          <w:trHeight w:val="300"/>
          <w:jc w:val="center"/>
        </w:trPr>
        <w:tc>
          <w:tcPr>
            <w:tcW w:w="3449" w:type="pct"/>
            <w:tcBorders>
              <w:top w:val="nil"/>
              <w:left w:val="nil"/>
              <w:bottom w:val="nil"/>
              <w:right w:val="single" w:sz="12" w:space="0" w:color="FFFFFF"/>
            </w:tcBorders>
            <w:shd w:val="clear" w:color="auto" w:fill="F2F2F2"/>
            <w:vAlign w:val="center"/>
          </w:tcPr>
          <w:p w14:paraId="7BE33CB1" w14:textId="77777777" w:rsidR="008F3E44" w:rsidRPr="008F3E44" w:rsidRDefault="008F3E44" w:rsidP="008F3E44">
            <w:pPr>
              <w:spacing w:after="0" w:line="240" w:lineRule="auto"/>
              <w:rPr>
                <w:rFonts w:ascii="Times New Roman" w:eastAsia="Times New Roman" w:hAnsi="Times New Roman" w:cs="Times New Roman"/>
                <w:sz w:val="18"/>
                <w:szCs w:val="18"/>
                <w:lang w:eastAsia="hr-HR"/>
              </w:rPr>
            </w:pPr>
            <w:r w:rsidRPr="008F3E44">
              <w:rPr>
                <w:rFonts w:ascii="Times New Roman" w:eastAsia="Times New Roman" w:hAnsi="Times New Roman" w:cs="Times New Roman"/>
                <w:sz w:val="18"/>
                <w:szCs w:val="18"/>
                <w:lang w:eastAsia="hr-HR"/>
              </w:rPr>
              <w:t>Ukalkulirana razlika u cijeni robe (grobna mjesta)</w:t>
            </w:r>
          </w:p>
        </w:tc>
        <w:tc>
          <w:tcPr>
            <w:tcW w:w="776" w:type="pct"/>
          </w:tcPr>
          <w:p w14:paraId="579C45B0" w14:textId="77777777" w:rsidR="008F3E44" w:rsidRPr="008F3E44" w:rsidRDefault="008F3E44" w:rsidP="008F3E44">
            <w:pPr>
              <w:spacing w:after="0" w:line="276" w:lineRule="auto"/>
              <w:contextualSpacing/>
              <w:jc w:val="center"/>
              <w:rPr>
                <w:rFonts w:ascii="Times New Roman" w:eastAsia="Calibri" w:hAnsi="Times New Roman" w:cs="Times New Roman"/>
              </w:rPr>
            </w:pPr>
            <w:r w:rsidRPr="008F3E44">
              <w:rPr>
                <w:rFonts w:ascii="Times New Roman" w:eastAsia="Calibri" w:hAnsi="Times New Roman" w:cs="Times New Roman"/>
              </w:rPr>
              <w:t>(1.623.331)</w:t>
            </w:r>
          </w:p>
        </w:tc>
        <w:tc>
          <w:tcPr>
            <w:tcW w:w="775" w:type="pct"/>
            <w:tcBorders>
              <w:top w:val="nil"/>
              <w:left w:val="nil"/>
              <w:bottom w:val="nil"/>
              <w:right w:val="single" w:sz="12" w:space="0" w:color="FFFFFF"/>
            </w:tcBorders>
            <w:shd w:val="clear" w:color="auto" w:fill="F2F2F2"/>
            <w:vAlign w:val="center"/>
          </w:tcPr>
          <w:p w14:paraId="212A66A7" w14:textId="77777777" w:rsidR="008F3E44" w:rsidRPr="008F3E44" w:rsidRDefault="008F3E44" w:rsidP="008F3E44">
            <w:pPr>
              <w:spacing w:after="0" w:line="240" w:lineRule="auto"/>
              <w:jc w:val="center"/>
              <w:rPr>
                <w:rFonts w:ascii="Times New Roman" w:eastAsia="Times New Roman" w:hAnsi="Times New Roman" w:cs="Times New Roman"/>
                <w:color w:val="FF0000"/>
                <w:sz w:val="18"/>
                <w:szCs w:val="18"/>
                <w:lang w:eastAsia="hr-HR"/>
              </w:rPr>
            </w:pPr>
          </w:p>
        </w:tc>
      </w:tr>
      <w:tr w:rsidR="008F3E44" w:rsidRPr="008F3E44" w14:paraId="1D8EF653" w14:textId="77777777" w:rsidTr="00315BD3">
        <w:trPr>
          <w:trHeight w:val="300"/>
          <w:jc w:val="center"/>
        </w:trPr>
        <w:tc>
          <w:tcPr>
            <w:tcW w:w="3449" w:type="pct"/>
            <w:tcBorders>
              <w:top w:val="nil"/>
              <w:left w:val="nil"/>
              <w:bottom w:val="nil"/>
              <w:right w:val="single" w:sz="12" w:space="0" w:color="FFFFFF"/>
            </w:tcBorders>
            <w:shd w:val="clear" w:color="auto" w:fill="auto"/>
            <w:vAlign w:val="center"/>
          </w:tcPr>
          <w:p w14:paraId="05090D73" w14:textId="77777777" w:rsidR="008F3E44" w:rsidRPr="008F3E44" w:rsidRDefault="008F3E44" w:rsidP="008F3E44">
            <w:pPr>
              <w:spacing w:after="0" w:line="240" w:lineRule="auto"/>
              <w:ind w:left="-142" w:firstLine="142"/>
              <w:rPr>
                <w:rFonts w:ascii="Times New Roman" w:eastAsia="Times New Roman" w:hAnsi="Times New Roman" w:cs="Times New Roman"/>
                <w:sz w:val="18"/>
                <w:szCs w:val="18"/>
                <w:lang w:eastAsia="hr-HR"/>
              </w:rPr>
            </w:pPr>
            <w:r w:rsidRPr="008F3E44">
              <w:rPr>
                <w:rFonts w:ascii="Times New Roman" w:eastAsia="Times New Roman" w:hAnsi="Times New Roman" w:cs="Times New Roman"/>
                <w:sz w:val="18"/>
                <w:szCs w:val="18"/>
                <w:lang w:eastAsia="hr-HR"/>
              </w:rPr>
              <w:t xml:space="preserve">Roba u prodavaonici </w:t>
            </w:r>
            <w:proofErr w:type="spellStart"/>
            <w:r w:rsidRPr="008F3E44">
              <w:rPr>
                <w:rFonts w:ascii="Times New Roman" w:eastAsia="Times New Roman" w:hAnsi="Times New Roman" w:cs="Times New Roman"/>
                <w:sz w:val="18"/>
                <w:szCs w:val="18"/>
                <w:lang w:eastAsia="hr-HR"/>
              </w:rPr>
              <w:t>Dalia</w:t>
            </w:r>
            <w:proofErr w:type="spellEnd"/>
            <w:r w:rsidRPr="008F3E44">
              <w:rPr>
                <w:rFonts w:ascii="Times New Roman" w:eastAsia="Times New Roman" w:hAnsi="Times New Roman" w:cs="Times New Roman"/>
                <w:sz w:val="18"/>
                <w:szCs w:val="18"/>
                <w:lang w:eastAsia="hr-HR"/>
              </w:rPr>
              <w:t xml:space="preserve"> i </w:t>
            </w:r>
            <w:proofErr w:type="spellStart"/>
            <w:r w:rsidRPr="008F3E44">
              <w:rPr>
                <w:rFonts w:ascii="Times New Roman" w:eastAsia="Times New Roman" w:hAnsi="Times New Roman" w:cs="Times New Roman"/>
                <w:sz w:val="18"/>
                <w:szCs w:val="18"/>
                <w:lang w:eastAsia="hr-HR"/>
              </w:rPr>
              <w:t>Sponza</w:t>
            </w:r>
            <w:proofErr w:type="spellEnd"/>
            <w:r w:rsidRPr="008F3E44">
              <w:rPr>
                <w:rFonts w:ascii="Times New Roman" w:eastAsia="Times New Roman" w:hAnsi="Times New Roman" w:cs="Times New Roman"/>
                <w:sz w:val="18"/>
                <w:szCs w:val="18"/>
                <w:lang w:eastAsia="hr-HR"/>
              </w:rPr>
              <w:t xml:space="preserve"> (trgovina)</w:t>
            </w:r>
          </w:p>
        </w:tc>
        <w:tc>
          <w:tcPr>
            <w:tcW w:w="776" w:type="pct"/>
          </w:tcPr>
          <w:p w14:paraId="4755B4FE" w14:textId="77777777" w:rsidR="008F3E44" w:rsidRPr="008F3E44" w:rsidRDefault="008F3E44" w:rsidP="008F3E44">
            <w:pPr>
              <w:spacing w:after="0" w:line="276" w:lineRule="auto"/>
              <w:contextualSpacing/>
              <w:jc w:val="center"/>
              <w:rPr>
                <w:rFonts w:ascii="Times New Roman" w:eastAsia="Calibri" w:hAnsi="Times New Roman" w:cs="Times New Roman"/>
                <w:color w:val="D9D9D9"/>
              </w:rPr>
            </w:pPr>
            <w:r w:rsidRPr="008F3E44">
              <w:rPr>
                <w:rFonts w:ascii="Times New Roman" w:eastAsia="Calibri" w:hAnsi="Times New Roman" w:cs="Times New Roman"/>
              </w:rPr>
              <w:t>292.938</w:t>
            </w:r>
          </w:p>
        </w:tc>
        <w:tc>
          <w:tcPr>
            <w:tcW w:w="775" w:type="pct"/>
            <w:tcBorders>
              <w:top w:val="nil"/>
              <w:left w:val="nil"/>
              <w:bottom w:val="nil"/>
              <w:right w:val="single" w:sz="12" w:space="0" w:color="FFFFFF"/>
            </w:tcBorders>
            <w:shd w:val="clear" w:color="auto" w:fill="auto"/>
            <w:vAlign w:val="center"/>
          </w:tcPr>
          <w:p w14:paraId="3E0D414D" w14:textId="77777777" w:rsidR="008F3E44" w:rsidRPr="008F3E44" w:rsidRDefault="008F3E44" w:rsidP="008F3E44">
            <w:pPr>
              <w:spacing w:after="0" w:line="240" w:lineRule="auto"/>
              <w:jc w:val="center"/>
              <w:rPr>
                <w:rFonts w:ascii="Times New Roman" w:eastAsia="Times New Roman" w:hAnsi="Times New Roman" w:cs="Times New Roman"/>
                <w:color w:val="FF0000"/>
                <w:sz w:val="18"/>
                <w:szCs w:val="18"/>
                <w:lang w:eastAsia="hr-HR"/>
              </w:rPr>
            </w:pPr>
          </w:p>
        </w:tc>
      </w:tr>
      <w:tr w:rsidR="008F3E44" w:rsidRPr="008F3E44" w14:paraId="2D71E0DA" w14:textId="77777777" w:rsidTr="00315BD3">
        <w:trPr>
          <w:trHeight w:val="300"/>
          <w:jc w:val="center"/>
        </w:trPr>
        <w:tc>
          <w:tcPr>
            <w:tcW w:w="3449" w:type="pct"/>
            <w:tcBorders>
              <w:top w:val="nil"/>
              <w:left w:val="nil"/>
              <w:bottom w:val="nil"/>
              <w:right w:val="single" w:sz="12" w:space="0" w:color="FFFFFF"/>
            </w:tcBorders>
            <w:shd w:val="clear" w:color="auto" w:fill="F2F2F2"/>
            <w:vAlign w:val="center"/>
          </w:tcPr>
          <w:p w14:paraId="108C8F58" w14:textId="77777777" w:rsidR="008F3E44" w:rsidRPr="008F3E44" w:rsidRDefault="008F3E44" w:rsidP="008F3E44">
            <w:pPr>
              <w:spacing w:after="0" w:line="240" w:lineRule="auto"/>
              <w:rPr>
                <w:rFonts w:ascii="Times New Roman" w:eastAsia="Times New Roman" w:hAnsi="Times New Roman" w:cs="Times New Roman"/>
                <w:sz w:val="18"/>
                <w:szCs w:val="18"/>
                <w:lang w:eastAsia="hr-HR"/>
              </w:rPr>
            </w:pPr>
            <w:r w:rsidRPr="008F3E44">
              <w:rPr>
                <w:rFonts w:ascii="Times New Roman" w:eastAsia="Times New Roman" w:hAnsi="Times New Roman" w:cs="Times New Roman"/>
                <w:sz w:val="18"/>
                <w:szCs w:val="18"/>
                <w:lang w:eastAsia="hr-HR"/>
              </w:rPr>
              <w:t>Ukalkulirana razlika u cijeni robe u trgovini</w:t>
            </w:r>
          </w:p>
        </w:tc>
        <w:tc>
          <w:tcPr>
            <w:tcW w:w="776" w:type="pct"/>
          </w:tcPr>
          <w:p w14:paraId="7B63D77D" w14:textId="77777777" w:rsidR="008F3E44" w:rsidRPr="008F3E44" w:rsidRDefault="008F3E44" w:rsidP="008F3E44">
            <w:pPr>
              <w:spacing w:after="0" w:line="276" w:lineRule="auto"/>
              <w:contextualSpacing/>
              <w:jc w:val="center"/>
              <w:rPr>
                <w:rFonts w:ascii="Times New Roman" w:eastAsia="Calibri" w:hAnsi="Times New Roman" w:cs="Times New Roman"/>
              </w:rPr>
            </w:pPr>
            <w:r w:rsidRPr="008F3E44">
              <w:rPr>
                <w:rFonts w:ascii="Times New Roman" w:eastAsia="Calibri" w:hAnsi="Times New Roman" w:cs="Times New Roman"/>
              </w:rPr>
              <w:t>(93.032)</w:t>
            </w:r>
          </w:p>
        </w:tc>
        <w:tc>
          <w:tcPr>
            <w:tcW w:w="775" w:type="pct"/>
            <w:tcBorders>
              <w:top w:val="nil"/>
              <w:left w:val="nil"/>
              <w:bottom w:val="nil"/>
              <w:right w:val="single" w:sz="12" w:space="0" w:color="FFFFFF"/>
            </w:tcBorders>
            <w:shd w:val="clear" w:color="auto" w:fill="F2F2F2"/>
            <w:vAlign w:val="center"/>
          </w:tcPr>
          <w:p w14:paraId="404EE347" w14:textId="77777777" w:rsidR="008F3E44" w:rsidRPr="008F3E44" w:rsidRDefault="008F3E44" w:rsidP="008F3E44">
            <w:pPr>
              <w:spacing w:after="0" w:line="240" w:lineRule="auto"/>
              <w:jc w:val="center"/>
              <w:rPr>
                <w:rFonts w:ascii="Times New Roman" w:eastAsia="Times New Roman" w:hAnsi="Times New Roman" w:cs="Times New Roman"/>
                <w:color w:val="FF0000"/>
                <w:sz w:val="18"/>
                <w:szCs w:val="18"/>
                <w:lang w:eastAsia="hr-HR"/>
              </w:rPr>
            </w:pPr>
          </w:p>
        </w:tc>
      </w:tr>
      <w:tr w:rsidR="008F3E44" w:rsidRPr="008F3E44" w14:paraId="532C1B8A" w14:textId="77777777" w:rsidTr="00315BD3">
        <w:trPr>
          <w:trHeight w:val="228"/>
          <w:jc w:val="center"/>
        </w:trPr>
        <w:tc>
          <w:tcPr>
            <w:tcW w:w="3449" w:type="pct"/>
            <w:tcBorders>
              <w:top w:val="nil"/>
              <w:left w:val="nil"/>
              <w:bottom w:val="nil"/>
              <w:right w:val="single" w:sz="12" w:space="0" w:color="FFFFFF"/>
            </w:tcBorders>
            <w:shd w:val="clear" w:color="auto" w:fill="auto"/>
            <w:vAlign w:val="center"/>
          </w:tcPr>
          <w:p w14:paraId="04CBDEAB" w14:textId="77777777" w:rsidR="008F3E44" w:rsidRPr="008F3E44" w:rsidRDefault="008F3E44" w:rsidP="008F3E44">
            <w:pPr>
              <w:spacing w:after="0" w:line="240" w:lineRule="auto"/>
              <w:rPr>
                <w:rFonts w:ascii="Times New Roman" w:eastAsia="Times New Roman" w:hAnsi="Times New Roman" w:cs="Times New Roman"/>
                <w:sz w:val="18"/>
                <w:szCs w:val="18"/>
                <w:lang w:eastAsia="hr-HR"/>
              </w:rPr>
            </w:pPr>
            <w:r w:rsidRPr="008F3E44">
              <w:rPr>
                <w:rFonts w:ascii="Times New Roman" w:eastAsia="Times New Roman" w:hAnsi="Times New Roman" w:cs="Times New Roman"/>
                <w:sz w:val="18"/>
                <w:szCs w:val="18"/>
                <w:lang w:eastAsia="hr-HR"/>
              </w:rPr>
              <w:t>Ukalkulirani porez na dodanu vrijednost</w:t>
            </w:r>
          </w:p>
        </w:tc>
        <w:tc>
          <w:tcPr>
            <w:tcW w:w="776" w:type="pct"/>
          </w:tcPr>
          <w:p w14:paraId="1C2A06F0" w14:textId="77777777" w:rsidR="008F3E44" w:rsidRPr="008F3E44" w:rsidRDefault="008F3E44" w:rsidP="008F3E44">
            <w:pPr>
              <w:spacing w:after="0" w:line="276" w:lineRule="auto"/>
              <w:contextualSpacing/>
              <w:jc w:val="center"/>
              <w:rPr>
                <w:rFonts w:ascii="Times New Roman" w:eastAsia="Calibri" w:hAnsi="Times New Roman" w:cs="Times New Roman"/>
              </w:rPr>
            </w:pPr>
            <w:r w:rsidRPr="008F3E44">
              <w:rPr>
                <w:rFonts w:ascii="Times New Roman" w:eastAsia="Calibri" w:hAnsi="Times New Roman" w:cs="Times New Roman"/>
              </w:rPr>
              <w:t>(58.429)</w:t>
            </w:r>
          </w:p>
        </w:tc>
        <w:tc>
          <w:tcPr>
            <w:tcW w:w="775" w:type="pct"/>
            <w:tcBorders>
              <w:top w:val="nil"/>
              <w:left w:val="nil"/>
              <w:bottom w:val="nil"/>
              <w:right w:val="single" w:sz="12" w:space="0" w:color="FFFFFF"/>
            </w:tcBorders>
            <w:shd w:val="clear" w:color="auto" w:fill="auto"/>
            <w:vAlign w:val="center"/>
          </w:tcPr>
          <w:p w14:paraId="1358DD3D" w14:textId="77777777" w:rsidR="008F3E44" w:rsidRPr="008F3E44" w:rsidRDefault="008F3E44" w:rsidP="008F3E44">
            <w:pPr>
              <w:spacing w:after="0" w:line="240" w:lineRule="auto"/>
              <w:rPr>
                <w:rFonts w:ascii="Times New Roman" w:eastAsia="Times New Roman" w:hAnsi="Times New Roman" w:cs="Times New Roman"/>
                <w:color w:val="FF0000"/>
                <w:sz w:val="18"/>
                <w:szCs w:val="18"/>
                <w:lang w:eastAsia="hr-HR"/>
              </w:rPr>
            </w:pPr>
          </w:p>
        </w:tc>
      </w:tr>
      <w:tr w:rsidR="008F3E44" w:rsidRPr="008F3E44" w14:paraId="33A353AE" w14:textId="77777777" w:rsidTr="00315BD3">
        <w:trPr>
          <w:trHeight w:val="368"/>
          <w:jc w:val="center"/>
        </w:trPr>
        <w:tc>
          <w:tcPr>
            <w:tcW w:w="3449" w:type="pct"/>
            <w:tcBorders>
              <w:top w:val="nil"/>
              <w:left w:val="nil"/>
              <w:bottom w:val="nil"/>
              <w:right w:val="single" w:sz="12" w:space="0" w:color="FFFFFF"/>
            </w:tcBorders>
            <w:shd w:val="clear" w:color="000000" w:fill="F2F2F2"/>
            <w:vAlign w:val="center"/>
          </w:tcPr>
          <w:p w14:paraId="5E2967AE" w14:textId="77777777" w:rsidR="008F3E44" w:rsidRPr="008F3E44" w:rsidRDefault="008F3E44" w:rsidP="008F3E44">
            <w:pPr>
              <w:spacing w:after="0" w:line="240" w:lineRule="auto"/>
              <w:rPr>
                <w:rFonts w:ascii="Times New Roman" w:eastAsia="Times New Roman" w:hAnsi="Times New Roman" w:cs="Times New Roman"/>
                <w:b/>
                <w:bCs/>
                <w:sz w:val="18"/>
                <w:szCs w:val="18"/>
                <w:lang w:eastAsia="hr-HR"/>
              </w:rPr>
            </w:pPr>
            <w:r w:rsidRPr="008F3E44">
              <w:rPr>
                <w:rFonts w:ascii="Times New Roman" w:eastAsia="Times New Roman" w:hAnsi="Times New Roman" w:cs="Times New Roman"/>
                <w:b/>
                <w:bCs/>
                <w:sz w:val="18"/>
                <w:szCs w:val="18"/>
                <w:lang w:eastAsia="hr-HR"/>
              </w:rPr>
              <w:t>UKUPNO / KN</w:t>
            </w:r>
          </w:p>
        </w:tc>
        <w:tc>
          <w:tcPr>
            <w:tcW w:w="776" w:type="pct"/>
            <w:tcBorders>
              <w:top w:val="nil"/>
              <w:left w:val="nil"/>
              <w:bottom w:val="nil"/>
              <w:right w:val="nil"/>
            </w:tcBorders>
            <w:shd w:val="clear" w:color="000000" w:fill="F2F2F2"/>
            <w:vAlign w:val="center"/>
          </w:tcPr>
          <w:p w14:paraId="757B6349" w14:textId="77777777" w:rsidR="008F3E44" w:rsidRPr="008F3E44" w:rsidRDefault="008F3E44" w:rsidP="008F3E44">
            <w:pPr>
              <w:spacing w:after="0" w:line="240" w:lineRule="auto"/>
              <w:jc w:val="center"/>
              <w:rPr>
                <w:rFonts w:ascii="Times New Roman" w:eastAsia="Times New Roman" w:hAnsi="Times New Roman" w:cs="Times New Roman"/>
                <w:b/>
                <w:bCs/>
                <w:sz w:val="18"/>
                <w:szCs w:val="18"/>
                <w:lang w:eastAsia="hr-HR"/>
              </w:rPr>
            </w:pPr>
            <w:r w:rsidRPr="008F3E44">
              <w:rPr>
                <w:rFonts w:ascii="Times New Roman" w:eastAsia="Times New Roman" w:hAnsi="Times New Roman" w:cs="Times New Roman"/>
                <w:b/>
                <w:bCs/>
                <w:sz w:val="18"/>
                <w:szCs w:val="18"/>
                <w:lang w:eastAsia="hr-HR"/>
              </w:rPr>
              <w:t>4.949.298 kn </w:t>
            </w:r>
          </w:p>
        </w:tc>
        <w:tc>
          <w:tcPr>
            <w:tcW w:w="775" w:type="pct"/>
            <w:tcBorders>
              <w:top w:val="nil"/>
              <w:left w:val="nil"/>
              <w:bottom w:val="nil"/>
              <w:right w:val="single" w:sz="12" w:space="0" w:color="FFFFFF"/>
            </w:tcBorders>
            <w:shd w:val="clear" w:color="000000" w:fill="F2F2F2"/>
            <w:vAlign w:val="center"/>
          </w:tcPr>
          <w:p w14:paraId="199CE900" w14:textId="77777777" w:rsidR="008F3E44" w:rsidRPr="008F3E44" w:rsidRDefault="008F3E44" w:rsidP="008F3E44">
            <w:pPr>
              <w:spacing w:after="0" w:line="240" w:lineRule="auto"/>
              <w:jc w:val="center"/>
              <w:rPr>
                <w:rFonts w:ascii="Times New Roman" w:eastAsia="Times New Roman" w:hAnsi="Times New Roman" w:cs="Times New Roman"/>
                <w:b/>
                <w:bCs/>
                <w:sz w:val="18"/>
                <w:szCs w:val="18"/>
                <w:lang w:eastAsia="hr-HR"/>
              </w:rPr>
            </w:pPr>
          </w:p>
        </w:tc>
      </w:tr>
    </w:tbl>
    <w:p w14:paraId="6CCAA14A" w14:textId="77777777" w:rsidR="00F42FCB" w:rsidRPr="008675AD" w:rsidRDefault="00F42FCB" w:rsidP="00F42FCB">
      <w:pPr>
        <w:spacing w:after="0" w:line="276" w:lineRule="auto"/>
        <w:contextualSpacing/>
        <w:jc w:val="both"/>
        <w:rPr>
          <w:rFonts w:ascii="Times New Roman" w:eastAsia="Calibri" w:hAnsi="Times New Roman" w:cs="Times New Roman"/>
          <w:bCs/>
        </w:rPr>
      </w:pPr>
    </w:p>
    <w:p w14:paraId="2698DFDB" w14:textId="77777777" w:rsidR="00F8166F" w:rsidRPr="008675AD" w:rsidRDefault="00F8166F" w:rsidP="00131D13">
      <w:pPr>
        <w:keepNext/>
        <w:widowControl w:val="0"/>
        <w:spacing w:after="0" w:line="280" w:lineRule="exact"/>
        <w:jc w:val="both"/>
        <w:rPr>
          <w:rFonts w:ascii="Times New Roman" w:eastAsia="Times New Roman" w:hAnsi="Times New Roman" w:cs="Times New Roman"/>
          <w:b/>
        </w:rPr>
      </w:pPr>
    </w:p>
    <w:p w14:paraId="69792F65" w14:textId="77777777" w:rsidR="00131D13" w:rsidRPr="008675AD" w:rsidRDefault="00131D13" w:rsidP="00131D13">
      <w:pPr>
        <w:spacing w:after="0" w:line="240" w:lineRule="auto"/>
        <w:jc w:val="both"/>
        <w:rPr>
          <w:rFonts w:ascii="Times New Roman" w:eastAsia="Times New Roman" w:hAnsi="Times New Roman" w:cs="Times New Roman"/>
          <w:b/>
        </w:rPr>
      </w:pPr>
      <w:r w:rsidRPr="008675AD">
        <w:rPr>
          <w:rFonts w:ascii="Times New Roman" w:eastAsia="Times New Roman" w:hAnsi="Times New Roman" w:cs="Times New Roman"/>
          <w:b/>
        </w:rPr>
        <w:t>Bilješka 5. Potraživanja</w:t>
      </w:r>
    </w:p>
    <w:p w14:paraId="691C28A1" w14:textId="77777777" w:rsidR="00552C89" w:rsidRPr="008675AD" w:rsidRDefault="00552C89" w:rsidP="00552C89">
      <w:pPr>
        <w:spacing w:after="0" w:line="276" w:lineRule="auto"/>
        <w:contextualSpacing/>
        <w:jc w:val="both"/>
        <w:rPr>
          <w:rFonts w:ascii="Times New Roman" w:eastAsia="Calibri" w:hAnsi="Times New Roman" w:cs="Times New Roman"/>
          <w:bCs/>
          <w:color w:val="FF0000"/>
        </w:rPr>
      </w:pPr>
    </w:p>
    <w:p w14:paraId="5A78B274" w14:textId="77777777" w:rsidR="0078665F" w:rsidRPr="0078665F" w:rsidRDefault="0078665F" w:rsidP="0078665F">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78665F">
        <w:rPr>
          <w:rFonts w:ascii="Times New Roman" w:eastAsia="Calibri" w:hAnsi="Times New Roman" w:cs="Times New Roman"/>
          <w:b/>
          <w:lang w:eastAsia="hr-HR"/>
        </w:rPr>
        <w:t>Potraživanja</w:t>
      </w:r>
    </w:p>
    <w:p w14:paraId="6362E142" w14:textId="77777777" w:rsidR="0078665F" w:rsidRPr="0078665F" w:rsidRDefault="0078665F" w:rsidP="0078665F">
      <w:pPr>
        <w:spacing w:after="0" w:line="276" w:lineRule="auto"/>
        <w:contextualSpacing/>
        <w:jc w:val="both"/>
        <w:rPr>
          <w:rFonts w:ascii="Times New Roman" w:eastAsia="Calibri" w:hAnsi="Times New Roman" w:cs="Times New Roman"/>
          <w:bCs/>
        </w:rPr>
      </w:pPr>
      <w:r w:rsidRPr="0078665F">
        <w:rPr>
          <w:rFonts w:ascii="Times New Roman" w:eastAsia="Calibri" w:hAnsi="Times New Roman" w:cs="Times New Roman"/>
          <w:bCs/>
        </w:rPr>
        <w:t>Potraživanja su na 31.12.2022. godine iznosila 741.268 kn što u odnosu na prethodnu godinu predstavlja smanjenje od 14% kao rezultat smanjenja potraživanja od kupaca, države i drugih institucija.</w:t>
      </w:r>
    </w:p>
    <w:p w14:paraId="63688800" w14:textId="77777777" w:rsidR="0078665F" w:rsidRPr="0078665F" w:rsidRDefault="0078665F" w:rsidP="0078665F">
      <w:pPr>
        <w:spacing w:after="0" w:line="276" w:lineRule="auto"/>
        <w:contextualSpacing/>
        <w:jc w:val="center"/>
        <w:rPr>
          <w:rFonts w:ascii="Times New Roman" w:eastAsia="Calibri" w:hAnsi="Times New Roman" w:cs="Times New Roman"/>
          <w:i/>
        </w:rPr>
      </w:pPr>
      <w:r w:rsidRPr="0078665F">
        <w:rPr>
          <w:rFonts w:ascii="Times New Roman" w:eastAsia="Calibri" w:hAnsi="Times New Roman" w:cs="Times New Roman"/>
          <w:i/>
        </w:rPr>
        <w:t>Struktura potraživanja od kupaca na 31.12.2022.</w:t>
      </w:r>
    </w:p>
    <w:p w14:paraId="3C365ED6" w14:textId="77777777" w:rsidR="0078665F" w:rsidRPr="0078665F" w:rsidRDefault="0078665F" w:rsidP="0078665F">
      <w:pPr>
        <w:spacing w:after="0" w:line="276" w:lineRule="auto"/>
        <w:contextualSpacing/>
        <w:jc w:val="center"/>
        <w:rPr>
          <w:rFonts w:ascii="Times New Roman" w:eastAsia="Calibri" w:hAnsi="Times New Roman" w:cs="Times New Roman"/>
          <w:i/>
          <w:color w:val="FF0000"/>
        </w:rPr>
      </w:pPr>
    </w:p>
    <w:tbl>
      <w:tblPr>
        <w:tblW w:w="0" w:type="auto"/>
        <w:jc w:val="center"/>
        <w:tblBorders>
          <w:insideH w:val="single" w:sz="18" w:space="0" w:color="FFFFFF"/>
          <w:insideV w:val="single" w:sz="18" w:space="0" w:color="FFFFFF"/>
        </w:tblBorders>
        <w:tblLook w:val="04A0" w:firstRow="1" w:lastRow="0" w:firstColumn="1" w:lastColumn="0" w:noHBand="0" w:noVBand="1"/>
      </w:tblPr>
      <w:tblGrid>
        <w:gridCol w:w="4415"/>
        <w:gridCol w:w="1828"/>
        <w:gridCol w:w="1549"/>
        <w:gridCol w:w="1034"/>
      </w:tblGrid>
      <w:tr w:rsidR="0078665F" w:rsidRPr="0078665F" w14:paraId="5BEA3627" w14:textId="77777777" w:rsidTr="00315BD3">
        <w:trPr>
          <w:trHeight w:val="340"/>
          <w:jc w:val="center"/>
        </w:trPr>
        <w:tc>
          <w:tcPr>
            <w:tcW w:w="4415" w:type="dxa"/>
            <w:shd w:val="clear" w:color="auto" w:fill="F2F2F2"/>
            <w:vAlign w:val="center"/>
          </w:tcPr>
          <w:p w14:paraId="0CE114BB" w14:textId="77777777" w:rsidR="0078665F" w:rsidRPr="0078665F" w:rsidRDefault="0078665F" w:rsidP="0078665F">
            <w:pPr>
              <w:spacing w:after="0" w:line="276" w:lineRule="auto"/>
              <w:contextualSpacing/>
              <w:rPr>
                <w:rFonts w:ascii="Times New Roman" w:eastAsia="Calibri" w:hAnsi="Times New Roman" w:cs="Times New Roman"/>
                <w:b/>
                <w:bCs/>
                <w:sz w:val="18"/>
                <w:szCs w:val="20"/>
              </w:rPr>
            </w:pPr>
            <w:r w:rsidRPr="0078665F">
              <w:rPr>
                <w:rFonts w:ascii="Times New Roman" w:eastAsia="Calibri" w:hAnsi="Times New Roman" w:cs="Times New Roman"/>
                <w:b/>
                <w:bCs/>
                <w:sz w:val="18"/>
                <w:szCs w:val="20"/>
              </w:rPr>
              <w:t>Potraživanja prema vrsti pružene usluge</w:t>
            </w:r>
          </w:p>
        </w:tc>
        <w:tc>
          <w:tcPr>
            <w:tcW w:w="1828" w:type="dxa"/>
            <w:shd w:val="clear" w:color="auto" w:fill="F2F2F2"/>
          </w:tcPr>
          <w:p w14:paraId="31E50D5F" w14:textId="77777777" w:rsidR="0078665F" w:rsidRPr="0078665F" w:rsidRDefault="0078665F" w:rsidP="0078665F">
            <w:pPr>
              <w:spacing w:after="0" w:line="276" w:lineRule="auto"/>
              <w:contextualSpacing/>
              <w:jc w:val="center"/>
              <w:rPr>
                <w:rFonts w:ascii="Times New Roman" w:eastAsia="Calibri" w:hAnsi="Times New Roman" w:cs="Times New Roman"/>
                <w:b/>
                <w:bCs/>
                <w:sz w:val="18"/>
                <w:szCs w:val="20"/>
              </w:rPr>
            </w:pPr>
            <w:r w:rsidRPr="0078665F">
              <w:rPr>
                <w:rFonts w:ascii="Times New Roman" w:eastAsia="Calibri" w:hAnsi="Times New Roman" w:cs="Times New Roman"/>
                <w:b/>
                <w:bCs/>
                <w:sz w:val="18"/>
                <w:szCs w:val="20"/>
              </w:rPr>
              <w:t xml:space="preserve">Stanje </w:t>
            </w:r>
          </w:p>
          <w:p w14:paraId="3B3EBB45" w14:textId="77777777" w:rsidR="0078665F" w:rsidRPr="0078665F" w:rsidRDefault="0078665F" w:rsidP="0078665F">
            <w:pPr>
              <w:spacing w:after="0" w:line="276" w:lineRule="auto"/>
              <w:contextualSpacing/>
              <w:jc w:val="center"/>
              <w:rPr>
                <w:rFonts w:ascii="Times New Roman" w:eastAsia="Calibri" w:hAnsi="Times New Roman" w:cs="Times New Roman"/>
                <w:b/>
                <w:bCs/>
                <w:sz w:val="18"/>
                <w:szCs w:val="20"/>
              </w:rPr>
            </w:pPr>
            <w:r w:rsidRPr="0078665F">
              <w:rPr>
                <w:rFonts w:ascii="Times New Roman" w:eastAsia="Calibri" w:hAnsi="Times New Roman" w:cs="Times New Roman"/>
                <w:b/>
                <w:bCs/>
                <w:sz w:val="18"/>
                <w:szCs w:val="20"/>
              </w:rPr>
              <w:t>na 31.12.2021.</w:t>
            </w:r>
          </w:p>
        </w:tc>
        <w:tc>
          <w:tcPr>
            <w:tcW w:w="1549" w:type="dxa"/>
            <w:shd w:val="clear" w:color="auto" w:fill="F2F2F2"/>
          </w:tcPr>
          <w:p w14:paraId="70A32406" w14:textId="77777777" w:rsidR="0078665F" w:rsidRPr="0078665F" w:rsidRDefault="0078665F" w:rsidP="0078665F">
            <w:pPr>
              <w:spacing w:after="0" w:line="276" w:lineRule="auto"/>
              <w:contextualSpacing/>
              <w:jc w:val="center"/>
              <w:rPr>
                <w:rFonts w:ascii="Times New Roman" w:eastAsia="Calibri" w:hAnsi="Times New Roman" w:cs="Times New Roman"/>
                <w:b/>
                <w:bCs/>
                <w:sz w:val="18"/>
                <w:szCs w:val="20"/>
              </w:rPr>
            </w:pPr>
            <w:r w:rsidRPr="0078665F">
              <w:rPr>
                <w:rFonts w:ascii="Times New Roman" w:eastAsia="Calibri" w:hAnsi="Times New Roman" w:cs="Times New Roman"/>
                <w:b/>
                <w:bCs/>
                <w:sz w:val="18"/>
                <w:szCs w:val="20"/>
              </w:rPr>
              <w:t xml:space="preserve">Stanje </w:t>
            </w:r>
          </w:p>
          <w:p w14:paraId="3DA9F1D7" w14:textId="77777777" w:rsidR="0078665F" w:rsidRPr="0078665F" w:rsidRDefault="0078665F" w:rsidP="0078665F">
            <w:pPr>
              <w:spacing w:after="0" w:line="276" w:lineRule="auto"/>
              <w:contextualSpacing/>
              <w:jc w:val="center"/>
              <w:rPr>
                <w:rFonts w:ascii="Times New Roman" w:eastAsia="Calibri" w:hAnsi="Times New Roman" w:cs="Times New Roman"/>
                <w:b/>
                <w:bCs/>
                <w:sz w:val="18"/>
                <w:szCs w:val="20"/>
              </w:rPr>
            </w:pPr>
            <w:r w:rsidRPr="0078665F">
              <w:rPr>
                <w:rFonts w:ascii="Times New Roman" w:eastAsia="Calibri" w:hAnsi="Times New Roman" w:cs="Times New Roman"/>
                <w:b/>
                <w:bCs/>
                <w:sz w:val="18"/>
                <w:szCs w:val="20"/>
              </w:rPr>
              <w:t>na 31.12.2022.</w:t>
            </w:r>
          </w:p>
        </w:tc>
        <w:tc>
          <w:tcPr>
            <w:tcW w:w="1034" w:type="dxa"/>
            <w:shd w:val="clear" w:color="auto" w:fill="F2F2F2"/>
            <w:vAlign w:val="center"/>
          </w:tcPr>
          <w:p w14:paraId="3BAFA218" w14:textId="77777777" w:rsidR="0078665F" w:rsidRPr="0078665F" w:rsidRDefault="0078665F" w:rsidP="0078665F">
            <w:pPr>
              <w:spacing w:after="0" w:line="276" w:lineRule="auto"/>
              <w:contextualSpacing/>
              <w:jc w:val="center"/>
              <w:rPr>
                <w:rFonts w:ascii="Times New Roman" w:eastAsia="Calibri" w:hAnsi="Times New Roman" w:cs="Times New Roman"/>
                <w:b/>
                <w:bCs/>
                <w:sz w:val="18"/>
                <w:szCs w:val="20"/>
              </w:rPr>
            </w:pPr>
            <w:r w:rsidRPr="0078665F">
              <w:rPr>
                <w:rFonts w:ascii="Times New Roman" w:eastAsia="Calibri" w:hAnsi="Times New Roman" w:cs="Times New Roman"/>
                <w:b/>
                <w:bCs/>
                <w:sz w:val="18"/>
                <w:szCs w:val="20"/>
              </w:rPr>
              <w:t>IND</w:t>
            </w:r>
          </w:p>
        </w:tc>
      </w:tr>
      <w:tr w:rsidR="0078665F" w:rsidRPr="0078665F" w14:paraId="4E3FB45D" w14:textId="77777777" w:rsidTr="00315BD3">
        <w:trPr>
          <w:trHeight w:val="340"/>
          <w:jc w:val="center"/>
        </w:trPr>
        <w:tc>
          <w:tcPr>
            <w:tcW w:w="4415" w:type="dxa"/>
            <w:tcBorders>
              <w:bottom w:val="nil"/>
            </w:tcBorders>
            <w:shd w:val="clear" w:color="auto" w:fill="auto"/>
          </w:tcPr>
          <w:p w14:paraId="432C624A" w14:textId="77777777" w:rsidR="0078665F" w:rsidRPr="0078665F" w:rsidRDefault="0078665F" w:rsidP="0078665F">
            <w:pPr>
              <w:spacing w:after="0" w:line="276" w:lineRule="auto"/>
              <w:contextualSpacing/>
              <w:rPr>
                <w:rFonts w:ascii="Times New Roman" w:eastAsia="Calibri" w:hAnsi="Times New Roman" w:cs="Times New Roman"/>
                <w:sz w:val="18"/>
                <w:szCs w:val="20"/>
              </w:rPr>
            </w:pPr>
            <w:r w:rsidRPr="0078665F">
              <w:rPr>
                <w:rFonts w:ascii="Times New Roman" w:eastAsia="Calibri" w:hAnsi="Times New Roman" w:cs="Times New Roman"/>
                <w:sz w:val="18"/>
                <w:szCs w:val="20"/>
              </w:rPr>
              <w:t>Godišnja naknada za korištenje grobnih mjesta</w:t>
            </w:r>
          </w:p>
        </w:tc>
        <w:tc>
          <w:tcPr>
            <w:tcW w:w="1828" w:type="dxa"/>
            <w:tcBorders>
              <w:bottom w:val="nil"/>
            </w:tcBorders>
            <w:shd w:val="clear" w:color="auto" w:fill="auto"/>
          </w:tcPr>
          <w:p w14:paraId="18C38ED8" w14:textId="77777777" w:rsidR="0078665F" w:rsidRPr="0078665F" w:rsidRDefault="0078665F" w:rsidP="0078665F">
            <w:pPr>
              <w:spacing w:after="0" w:line="276" w:lineRule="auto"/>
              <w:contextualSpacing/>
              <w:jc w:val="center"/>
              <w:rPr>
                <w:rFonts w:ascii="Times New Roman" w:eastAsia="Calibri" w:hAnsi="Times New Roman" w:cs="Times New Roman"/>
                <w:sz w:val="18"/>
                <w:szCs w:val="20"/>
              </w:rPr>
            </w:pPr>
            <w:r w:rsidRPr="0078665F">
              <w:rPr>
                <w:rFonts w:ascii="Times New Roman" w:eastAsia="Calibri" w:hAnsi="Times New Roman" w:cs="Times New Roman"/>
                <w:sz w:val="18"/>
                <w:szCs w:val="20"/>
              </w:rPr>
              <w:t>665.923</w:t>
            </w:r>
          </w:p>
        </w:tc>
        <w:tc>
          <w:tcPr>
            <w:tcW w:w="1549" w:type="dxa"/>
            <w:tcBorders>
              <w:top w:val="single" w:sz="18" w:space="0" w:color="FFFFFF"/>
              <w:left w:val="single" w:sz="18" w:space="0" w:color="FFFFFF"/>
              <w:bottom w:val="nil"/>
              <w:right w:val="single" w:sz="18" w:space="0" w:color="FFFFFF"/>
            </w:tcBorders>
          </w:tcPr>
          <w:p w14:paraId="214BC5C5" w14:textId="77777777" w:rsidR="0078665F" w:rsidRPr="0078665F" w:rsidRDefault="0078665F" w:rsidP="0078665F">
            <w:pPr>
              <w:spacing w:after="0" w:line="276" w:lineRule="auto"/>
              <w:contextualSpacing/>
              <w:jc w:val="center"/>
              <w:rPr>
                <w:rFonts w:ascii="Times New Roman" w:eastAsia="Calibri" w:hAnsi="Times New Roman" w:cs="Times New Roman"/>
                <w:sz w:val="18"/>
                <w:szCs w:val="20"/>
              </w:rPr>
            </w:pPr>
            <w:r w:rsidRPr="0078665F">
              <w:rPr>
                <w:rFonts w:ascii="Times New Roman" w:eastAsia="Calibri" w:hAnsi="Times New Roman" w:cs="Times New Roman"/>
                <w:sz w:val="18"/>
                <w:szCs w:val="20"/>
              </w:rPr>
              <w:t>543.909</w:t>
            </w:r>
          </w:p>
        </w:tc>
        <w:tc>
          <w:tcPr>
            <w:tcW w:w="1034" w:type="dxa"/>
            <w:tcBorders>
              <w:bottom w:val="nil"/>
            </w:tcBorders>
          </w:tcPr>
          <w:p w14:paraId="72EECD1D" w14:textId="77777777" w:rsidR="0078665F" w:rsidRPr="0078665F" w:rsidRDefault="0078665F" w:rsidP="0078665F">
            <w:pPr>
              <w:spacing w:after="0" w:line="276" w:lineRule="auto"/>
              <w:contextualSpacing/>
              <w:jc w:val="center"/>
              <w:rPr>
                <w:rFonts w:ascii="Times New Roman" w:eastAsia="Calibri" w:hAnsi="Times New Roman" w:cs="Times New Roman"/>
                <w:sz w:val="18"/>
                <w:szCs w:val="20"/>
              </w:rPr>
            </w:pPr>
            <w:r w:rsidRPr="0078665F">
              <w:rPr>
                <w:rFonts w:ascii="Times New Roman" w:eastAsia="Calibri" w:hAnsi="Times New Roman" w:cs="Times New Roman"/>
                <w:sz w:val="18"/>
                <w:szCs w:val="20"/>
              </w:rPr>
              <w:t>82</w:t>
            </w:r>
          </w:p>
        </w:tc>
      </w:tr>
      <w:tr w:rsidR="0078665F" w:rsidRPr="0078665F" w14:paraId="3E8524CE" w14:textId="77777777" w:rsidTr="00315BD3">
        <w:trPr>
          <w:trHeight w:val="340"/>
          <w:jc w:val="center"/>
        </w:trPr>
        <w:tc>
          <w:tcPr>
            <w:tcW w:w="4415" w:type="dxa"/>
            <w:tcBorders>
              <w:top w:val="nil"/>
              <w:bottom w:val="nil"/>
            </w:tcBorders>
            <w:shd w:val="clear" w:color="auto" w:fill="E7E6E6"/>
          </w:tcPr>
          <w:p w14:paraId="7CF74419" w14:textId="77777777" w:rsidR="0078665F" w:rsidRPr="0078665F" w:rsidRDefault="0078665F" w:rsidP="0078665F">
            <w:pPr>
              <w:spacing w:after="0" w:line="276" w:lineRule="auto"/>
              <w:contextualSpacing/>
              <w:rPr>
                <w:rFonts w:ascii="Times New Roman" w:eastAsia="Calibri" w:hAnsi="Times New Roman" w:cs="Times New Roman"/>
                <w:sz w:val="18"/>
                <w:szCs w:val="20"/>
              </w:rPr>
            </w:pPr>
            <w:r w:rsidRPr="0078665F">
              <w:rPr>
                <w:rFonts w:ascii="Times New Roman" w:eastAsia="Calibri" w:hAnsi="Times New Roman" w:cs="Times New Roman"/>
                <w:sz w:val="18"/>
                <w:szCs w:val="20"/>
              </w:rPr>
              <w:t>Pogrebne usluge (fizičke osobe)</w:t>
            </w:r>
          </w:p>
        </w:tc>
        <w:tc>
          <w:tcPr>
            <w:tcW w:w="1828" w:type="dxa"/>
            <w:tcBorders>
              <w:top w:val="nil"/>
              <w:bottom w:val="nil"/>
            </w:tcBorders>
            <w:shd w:val="clear" w:color="auto" w:fill="E7E6E6"/>
          </w:tcPr>
          <w:p w14:paraId="34FC7E00" w14:textId="77777777" w:rsidR="0078665F" w:rsidRPr="0078665F" w:rsidRDefault="0078665F" w:rsidP="0078665F">
            <w:pPr>
              <w:spacing w:after="0" w:line="276" w:lineRule="auto"/>
              <w:contextualSpacing/>
              <w:jc w:val="center"/>
              <w:rPr>
                <w:rFonts w:ascii="Times New Roman" w:eastAsia="Calibri" w:hAnsi="Times New Roman" w:cs="Times New Roman"/>
                <w:sz w:val="18"/>
                <w:szCs w:val="20"/>
              </w:rPr>
            </w:pPr>
            <w:r w:rsidRPr="0078665F">
              <w:rPr>
                <w:rFonts w:ascii="Times New Roman" w:eastAsia="Calibri" w:hAnsi="Times New Roman" w:cs="Times New Roman"/>
                <w:sz w:val="18"/>
                <w:szCs w:val="20"/>
              </w:rPr>
              <w:t>968.177</w:t>
            </w:r>
          </w:p>
        </w:tc>
        <w:tc>
          <w:tcPr>
            <w:tcW w:w="1549" w:type="dxa"/>
            <w:tcBorders>
              <w:top w:val="nil"/>
              <w:left w:val="single" w:sz="18" w:space="0" w:color="FFFFFF"/>
              <w:bottom w:val="nil"/>
              <w:right w:val="single" w:sz="18" w:space="0" w:color="FFFFFF"/>
            </w:tcBorders>
            <w:shd w:val="clear" w:color="auto" w:fill="E7E6E6"/>
          </w:tcPr>
          <w:p w14:paraId="557A96D9" w14:textId="77777777" w:rsidR="0078665F" w:rsidRPr="0078665F" w:rsidRDefault="0078665F" w:rsidP="0078665F">
            <w:pPr>
              <w:spacing w:after="0" w:line="276" w:lineRule="auto"/>
              <w:contextualSpacing/>
              <w:jc w:val="center"/>
              <w:rPr>
                <w:rFonts w:ascii="Times New Roman" w:eastAsia="Calibri" w:hAnsi="Times New Roman" w:cs="Times New Roman"/>
                <w:sz w:val="18"/>
                <w:szCs w:val="20"/>
              </w:rPr>
            </w:pPr>
            <w:r w:rsidRPr="0078665F">
              <w:rPr>
                <w:rFonts w:ascii="Times New Roman" w:eastAsia="Calibri" w:hAnsi="Times New Roman" w:cs="Times New Roman"/>
                <w:sz w:val="18"/>
                <w:szCs w:val="20"/>
              </w:rPr>
              <w:t>875.367</w:t>
            </w:r>
          </w:p>
        </w:tc>
        <w:tc>
          <w:tcPr>
            <w:tcW w:w="1034" w:type="dxa"/>
            <w:tcBorders>
              <w:top w:val="nil"/>
              <w:bottom w:val="nil"/>
            </w:tcBorders>
            <w:shd w:val="clear" w:color="auto" w:fill="E7E6E6"/>
          </w:tcPr>
          <w:p w14:paraId="5AF9DC4C" w14:textId="77777777" w:rsidR="0078665F" w:rsidRPr="0078665F" w:rsidRDefault="0078665F" w:rsidP="0078665F">
            <w:pPr>
              <w:spacing w:after="0" w:line="276" w:lineRule="auto"/>
              <w:contextualSpacing/>
              <w:jc w:val="center"/>
              <w:rPr>
                <w:rFonts w:ascii="Times New Roman" w:eastAsia="Calibri" w:hAnsi="Times New Roman" w:cs="Times New Roman"/>
                <w:sz w:val="18"/>
                <w:szCs w:val="20"/>
              </w:rPr>
            </w:pPr>
            <w:r w:rsidRPr="0078665F">
              <w:rPr>
                <w:rFonts w:ascii="Times New Roman" w:eastAsia="Calibri" w:hAnsi="Times New Roman" w:cs="Times New Roman"/>
                <w:sz w:val="18"/>
                <w:szCs w:val="20"/>
              </w:rPr>
              <w:t>90</w:t>
            </w:r>
          </w:p>
        </w:tc>
      </w:tr>
      <w:tr w:rsidR="0078665F" w:rsidRPr="0078665F" w14:paraId="5F799445" w14:textId="77777777" w:rsidTr="00315BD3">
        <w:trPr>
          <w:trHeight w:val="340"/>
          <w:jc w:val="center"/>
        </w:trPr>
        <w:tc>
          <w:tcPr>
            <w:tcW w:w="4415" w:type="dxa"/>
            <w:tcBorders>
              <w:top w:val="nil"/>
              <w:bottom w:val="nil"/>
            </w:tcBorders>
            <w:shd w:val="clear" w:color="auto" w:fill="FFFFFF"/>
          </w:tcPr>
          <w:p w14:paraId="14E1BA78" w14:textId="77777777" w:rsidR="0078665F" w:rsidRPr="0078665F" w:rsidRDefault="0078665F" w:rsidP="0078665F">
            <w:pPr>
              <w:spacing w:after="0" w:line="276" w:lineRule="auto"/>
              <w:contextualSpacing/>
              <w:rPr>
                <w:rFonts w:ascii="Times New Roman" w:eastAsia="Calibri" w:hAnsi="Times New Roman" w:cs="Times New Roman"/>
                <w:sz w:val="18"/>
                <w:szCs w:val="20"/>
              </w:rPr>
            </w:pPr>
            <w:r w:rsidRPr="0078665F">
              <w:rPr>
                <w:rFonts w:ascii="Times New Roman" w:eastAsia="Calibri" w:hAnsi="Times New Roman" w:cs="Times New Roman"/>
                <w:sz w:val="18"/>
                <w:szCs w:val="20"/>
              </w:rPr>
              <w:t>Pogrebne usluge i održavanje groblja (pravne osobe)</w:t>
            </w:r>
          </w:p>
        </w:tc>
        <w:tc>
          <w:tcPr>
            <w:tcW w:w="1828" w:type="dxa"/>
            <w:tcBorders>
              <w:top w:val="nil"/>
              <w:bottom w:val="nil"/>
            </w:tcBorders>
            <w:shd w:val="clear" w:color="auto" w:fill="FFFFFF"/>
          </w:tcPr>
          <w:p w14:paraId="32BB59F2" w14:textId="77777777" w:rsidR="0078665F" w:rsidRPr="0078665F" w:rsidRDefault="0078665F" w:rsidP="0078665F">
            <w:pPr>
              <w:spacing w:after="0" w:line="276" w:lineRule="auto"/>
              <w:contextualSpacing/>
              <w:jc w:val="center"/>
              <w:rPr>
                <w:rFonts w:ascii="Times New Roman" w:eastAsia="Calibri" w:hAnsi="Times New Roman" w:cs="Times New Roman"/>
                <w:sz w:val="18"/>
                <w:szCs w:val="20"/>
              </w:rPr>
            </w:pPr>
            <w:r w:rsidRPr="0078665F">
              <w:rPr>
                <w:rFonts w:ascii="Times New Roman" w:eastAsia="Calibri" w:hAnsi="Times New Roman" w:cs="Times New Roman"/>
                <w:sz w:val="18"/>
                <w:szCs w:val="20"/>
              </w:rPr>
              <w:t>47.314</w:t>
            </w:r>
          </w:p>
        </w:tc>
        <w:tc>
          <w:tcPr>
            <w:tcW w:w="1549" w:type="dxa"/>
            <w:tcBorders>
              <w:top w:val="nil"/>
              <w:left w:val="single" w:sz="18" w:space="0" w:color="FFFFFF"/>
              <w:bottom w:val="nil"/>
              <w:right w:val="single" w:sz="18" w:space="0" w:color="FFFFFF"/>
            </w:tcBorders>
            <w:shd w:val="clear" w:color="auto" w:fill="FFFFFF"/>
          </w:tcPr>
          <w:p w14:paraId="58767646" w14:textId="77777777" w:rsidR="0078665F" w:rsidRPr="0078665F" w:rsidRDefault="0078665F" w:rsidP="0078665F">
            <w:pPr>
              <w:spacing w:after="0" w:line="276" w:lineRule="auto"/>
              <w:contextualSpacing/>
              <w:jc w:val="center"/>
              <w:rPr>
                <w:rFonts w:ascii="Times New Roman" w:eastAsia="Calibri" w:hAnsi="Times New Roman" w:cs="Times New Roman"/>
                <w:sz w:val="18"/>
                <w:szCs w:val="20"/>
              </w:rPr>
            </w:pPr>
            <w:r w:rsidRPr="0078665F">
              <w:rPr>
                <w:rFonts w:ascii="Times New Roman" w:eastAsia="Calibri" w:hAnsi="Times New Roman" w:cs="Times New Roman"/>
                <w:sz w:val="18"/>
                <w:szCs w:val="20"/>
              </w:rPr>
              <w:t>131.304</w:t>
            </w:r>
          </w:p>
        </w:tc>
        <w:tc>
          <w:tcPr>
            <w:tcW w:w="1034" w:type="dxa"/>
            <w:tcBorders>
              <w:top w:val="nil"/>
              <w:bottom w:val="nil"/>
            </w:tcBorders>
            <w:shd w:val="clear" w:color="auto" w:fill="FFFFFF"/>
          </w:tcPr>
          <w:p w14:paraId="53A441B5" w14:textId="77777777" w:rsidR="0078665F" w:rsidRPr="0078665F" w:rsidRDefault="0078665F" w:rsidP="0078665F">
            <w:pPr>
              <w:spacing w:after="0" w:line="276" w:lineRule="auto"/>
              <w:contextualSpacing/>
              <w:jc w:val="center"/>
              <w:rPr>
                <w:rFonts w:ascii="Times New Roman" w:eastAsia="Calibri" w:hAnsi="Times New Roman" w:cs="Times New Roman"/>
                <w:sz w:val="18"/>
                <w:szCs w:val="20"/>
              </w:rPr>
            </w:pPr>
            <w:r w:rsidRPr="0078665F">
              <w:rPr>
                <w:rFonts w:ascii="Times New Roman" w:eastAsia="Calibri" w:hAnsi="Times New Roman" w:cs="Times New Roman"/>
                <w:sz w:val="18"/>
                <w:szCs w:val="20"/>
              </w:rPr>
              <w:t>278</w:t>
            </w:r>
          </w:p>
        </w:tc>
      </w:tr>
      <w:tr w:rsidR="0078665F" w:rsidRPr="0078665F" w14:paraId="3A71E5A0" w14:textId="77777777" w:rsidTr="00315BD3">
        <w:trPr>
          <w:trHeight w:val="340"/>
          <w:jc w:val="center"/>
        </w:trPr>
        <w:tc>
          <w:tcPr>
            <w:tcW w:w="4415" w:type="dxa"/>
            <w:tcBorders>
              <w:top w:val="nil"/>
              <w:bottom w:val="nil"/>
            </w:tcBorders>
            <w:shd w:val="clear" w:color="auto" w:fill="E7E6E6"/>
          </w:tcPr>
          <w:p w14:paraId="5639FAE6" w14:textId="77777777" w:rsidR="0078665F" w:rsidRPr="0078665F" w:rsidRDefault="0078665F" w:rsidP="0078665F">
            <w:pPr>
              <w:spacing w:after="0" w:line="276" w:lineRule="auto"/>
              <w:contextualSpacing/>
              <w:rPr>
                <w:rFonts w:ascii="Times New Roman" w:eastAsia="Calibri" w:hAnsi="Times New Roman" w:cs="Times New Roman"/>
                <w:sz w:val="18"/>
                <w:szCs w:val="20"/>
              </w:rPr>
            </w:pPr>
            <w:r w:rsidRPr="0078665F">
              <w:rPr>
                <w:rFonts w:ascii="Times New Roman" w:eastAsia="Calibri" w:hAnsi="Times New Roman" w:cs="Times New Roman"/>
                <w:sz w:val="18"/>
                <w:szCs w:val="20"/>
              </w:rPr>
              <w:t>Ispravak vrijednosti potraživanja</w:t>
            </w:r>
          </w:p>
        </w:tc>
        <w:tc>
          <w:tcPr>
            <w:tcW w:w="1828" w:type="dxa"/>
            <w:tcBorders>
              <w:top w:val="nil"/>
              <w:bottom w:val="nil"/>
            </w:tcBorders>
            <w:shd w:val="clear" w:color="auto" w:fill="E7E6E6"/>
          </w:tcPr>
          <w:p w14:paraId="095B2F9C" w14:textId="77777777" w:rsidR="0078665F" w:rsidRPr="0078665F" w:rsidRDefault="0078665F" w:rsidP="0078665F">
            <w:pPr>
              <w:spacing w:after="0" w:line="276" w:lineRule="auto"/>
              <w:contextualSpacing/>
              <w:jc w:val="center"/>
              <w:rPr>
                <w:rFonts w:ascii="Times New Roman" w:eastAsia="Calibri" w:hAnsi="Times New Roman" w:cs="Times New Roman"/>
                <w:sz w:val="18"/>
                <w:szCs w:val="20"/>
              </w:rPr>
            </w:pPr>
            <w:r w:rsidRPr="0078665F">
              <w:rPr>
                <w:rFonts w:ascii="Times New Roman" w:eastAsia="Calibri" w:hAnsi="Times New Roman" w:cs="Times New Roman"/>
                <w:sz w:val="18"/>
                <w:szCs w:val="20"/>
              </w:rPr>
              <w:t>(985.346)</w:t>
            </w:r>
          </w:p>
        </w:tc>
        <w:tc>
          <w:tcPr>
            <w:tcW w:w="1549" w:type="dxa"/>
            <w:tcBorders>
              <w:top w:val="nil"/>
              <w:left w:val="single" w:sz="18" w:space="0" w:color="FFFFFF"/>
              <w:bottom w:val="nil"/>
              <w:right w:val="single" w:sz="18" w:space="0" w:color="FFFFFF"/>
            </w:tcBorders>
            <w:shd w:val="clear" w:color="auto" w:fill="E7E6E6"/>
          </w:tcPr>
          <w:p w14:paraId="0A3E3649" w14:textId="77777777" w:rsidR="0078665F" w:rsidRPr="0078665F" w:rsidRDefault="0078665F" w:rsidP="0078665F">
            <w:pPr>
              <w:spacing w:after="0" w:line="276" w:lineRule="auto"/>
              <w:contextualSpacing/>
              <w:jc w:val="center"/>
              <w:rPr>
                <w:rFonts w:ascii="Times New Roman" w:eastAsia="Calibri" w:hAnsi="Times New Roman" w:cs="Times New Roman"/>
                <w:sz w:val="18"/>
                <w:szCs w:val="20"/>
              </w:rPr>
            </w:pPr>
            <w:r w:rsidRPr="0078665F">
              <w:rPr>
                <w:rFonts w:ascii="Times New Roman" w:eastAsia="Calibri" w:hAnsi="Times New Roman" w:cs="Times New Roman"/>
                <w:sz w:val="18"/>
                <w:szCs w:val="20"/>
              </w:rPr>
              <w:t>(936.361)</w:t>
            </w:r>
          </w:p>
        </w:tc>
        <w:tc>
          <w:tcPr>
            <w:tcW w:w="1034" w:type="dxa"/>
            <w:tcBorders>
              <w:top w:val="nil"/>
              <w:bottom w:val="nil"/>
            </w:tcBorders>
            <w:shd w:val="clear" w:color="auto" w:fill="E7E6E6"/>
          </w:tcPr>
          <w:p w14:paraId="0FB5545B" w14:textId="77777777" w:rsidR="0078665F" w:rsidRPr="0078665F" w:rsidRDefault="0078665F" w:rsidP="0078665F">
            <w:pPr>
              <w:spacing w:after="0" w:line="276" w:lineRule="auto"/>
              <w:contextualSpacing/>
              <w:jc w:val="center"/>
              <w:rPr>
                <w:rFonts w:ascii="Times New Roman" w:eastAsia="Calibri" w:hAnsi="Times New Roman" w:cs="Times New Roman"/>
                <w:sz w:val="18"/>
                <w:szCs w:val="20"/>
              </w:rPr>
            </w:pPr>
            <w:r w:rsidRPr="0078665F">
              <w:rPr>
                <w:rFonts w:ascii="Times New Roman" w:eastAsia="Calibri" w:hAnsi="Times New Roman" w:cs="Times New Roman"/>
                <w:sz w:val="18"/>
                <w:szCs w:val="20"/>
              </w:rPr>
              <w:t>(95)</w:t>
            </w:r>
          </w:p>
        </w:tc>
      </w:tr>
      <w:tr w:rsidR="0078665F" w:rsidRPr="0078665F" w14:paraId="427C8FFD" w14:textId="77777777" w:rsidTr="00315BD3">
        <w:trPr>
          <w:trHeight w:val="340"/>
          <w:jc w:val="center"/>
        </w:trPr>
        <w:tc>
          <w:tcPr>
            <w:tcW w:w="4415" w:type="dxa"/>
            <w:tcBorders>
              <w:top w:val="nil"/>
              <w:bottom w:val="nil"/>
            </w:tcBorders>
            <w:shd w:val="clear" w:color="auto" w:fill="F2F2F2"/>
          </w:tcPr>
          <w:p w14:paraId="3E82F84D" w14:textId="77777777" w:rsidR="0078665F" w:rsidRPr="0078665F" w:rsidRDefault="0078665F" w:rsidP="0078665F">
            <w:pPr>
              <w:spacing w:after="0" w:line="276" w:lineRule="auto"/>
              <w:contextualSpacing/>
              <w:rPr>
                <w:rFonts w:ascii="Times New Roman" w:eastAsia="Calibri" w:hAnsi="Times New Roman" w:cs="Times New Roman"/>
                <w:b/>
                <w:sz w:val="18"/>
                <w:szCs w:val="20"/>
              </w:rPr>
            </w:pPr>
            <w:r w:rsidRPr="0078665F">
              <w:rPr>
                <w:rFonts w:ascii="Times New Roman" w:eastAsia="Calibri" w:hAnsi="Times New Roman" w:cs="Times New Roman"/>
                <w:b/>
                <w:sz w:val="18"/>
                <w:szCs w:val="20"/>
              </w:rPr>
              <w:t>UKUPNO / KN</w:t>
            </w:r>
          </w:p>
        </w:tc>
        <w:tc>
          <w:tcPr>
            <w:tcW w:w="1828" w:type="dxa"/>
            <w:tcBorders>
              <w:top w:val="nil"/>
              <w:bottom w:val="nil"/>
            </w:tcBorders>
            <w:shd w:val="clear" w:color="auto" w:fill="F2F2F2"/>
          </w:tcPr>
          <w:p w14:paraId="417C7F42" w14:textId="77777777" w:rsidR="0078665F" w:rsidRPr="0078665F" w:rsidRDefault="0078665F" w:rsidP="0078665F">
            <w:pPr>
              <w:spacing w:after="0" w:line="276" w:lineRule="auto"/>
              <w:contextualSpacing/>
              <w:jc w:val="center"/>
              <w:rPr>
                <w:rFonts w:ascii="Times New Roman" w:eastAsia="Calibri" w:hAnsi="Times New Roman" w:cs="Times New Roman"/>
                <w:b/>
                <w:sz w:val="18"/>
                <w:szCs w:val="20"/>
              </w:rPr>
            </w:pPr>
            <w:r w:rsidRPr="0078665F">
              <w:rPr>
                <w:rFonts w:ascii="Times New Roman" w:eastAsia="Calibri" w:hAnsi="Times New Roman" w:cs="Times New Roman"/>
                <w:b/>
                <w:sz w:val="18"/>
                <w:szCs w:val="20"/>
              </w:rPr>
              <w:t>696.068</w:t>
            </w:r>
          </w:p>
        </w:tc>
        <w:tc>
          <w:tcPr>
            <w:tcW w:w="1549" w:type="dxa"/>
            <w:tcBorders>
              <w:top w:val="nil"/>
              <w:left w:val="single" w:sz="18" w:space="0" w:color="FFFFFF"/>
              <w:bottom w:val="nil"/>
              <w:right w:val="single" w:sz="18" w:space="0" w:color="FFFFFF"/>
            </w:tcBorders>
            <w:shd w:val="clear" w:color="auto" w:fill="F2F2F2"/>
          </w:tcPr>
          <w:p w14:paraId="602AE649" w14:textId="77777777" w:rsidR="0078665F" w:rsidRPr="0078665F" w:rsidRDefault="0078665F" w:rsidP="0078665F">
            <w:pPr>
              <w:spacing w:after="0" w:line="276" w:lineRule="auto"/>
              <w:contextualSpacing/>
              <w:jc w:val="center"/>
              <w:rPr>
                <w:rFonts w:ascii="Times New Roman" w:eastAsia="Calibri" w:hAnsi="Times New Roman" w:cs="Times New Roman"/>
                <w:b/>
                <w:sz w:val="18"/>
                <w:szCs w:val="20"/>
              </w:rPr>
            </w:pPr>
            <w:r w:rsidRPr="0078665F">
              <w:rPr>
                <w:rFonts w:ascii="Times New Roman" w:eastAsia="Calibri" w:hAnsi="Times New Roman" w:cs="Times New Roman"/>
                <w:b/>
                <w:sz w:val="18"/>
                <w:szCs w:val="20"/>
              </w:rPr>
              <w:t>614.219</w:t>
            </w:r>
          </w:p>
        </w:tc>
        <w:tc>
          <w:tcPr>
            <w:tcW w:w="1034" w:type="dxa"/>
            <w:tcBorders>
              <w:top w:val="nil"/>
              <w:bottom w:val="nil"/>
            </w:tcBorders>
            <w:shd w:val="clear" w:color="auto" w:fill="F2F2F2"/>
          </w:tcPr>
          <w:p w14:paraId="68D15A28" w14:textId="77777777" w:rsidR="0078665F" w:rsidRPr="0078665F" w:rsidRDefault="0078665F" w:rsidP="0078665F">
            <w:pPr>
              <w:spacing w:after="0" w:line="276" w:lineRule="auto"/>
              <w:contextualSpacing/>
              <w:jc w:val="center"/>
              <w:rPr>
                <w:rFonts w:ascii="Times New Roman" w:eastAsia="Calibri" w:hAnsi="Times New Roman" w:cs="Times New Roman"/>
                <w:b/>
                <w:sz w:val="18"/>
                <w:szCs w:val="20"/>
              </w:rPr>
            </w:pPr>
            <w:r w:rsidRPr="0078665F">
              <w:rPr>
                <w:rFonts w:ascii="Times New Roman" w:eastAsia="Calibri" w:hAnsi="Times New Roman" w:cs="Times New Roman"/>
                <w:b/>
                <w:sz w:val="18"/>
                <w:szCs w:val="20"/>
              </w:rPr>
              <w:t>88</w:t>
            </w:r>
          </w:p>
        </w:tc>
      </w:tr>
    </w:tbl>
    <w:p w14:paraId="3FACC67C" w14:textId="77777777" w:rsidR="0078665F" w:rsidRPr="0078665F" w:rsidRDefault="0078665F" w:rsidP="0078665F">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p>
    <w:p w14:paraId="62475A43" w14:textId="77777777" w:rsidR="0078665F" w:rsidRPr="0078665F" w:rsidRDefault="0078665F" w:rsidP="0078665F">
      <w:pPr>
        <w:spacing w:after="0" w:line="276" w:lineRule="auto"/>
        <w:contextualSpacing/>
        <w:jc w:val="both"/>
        <w:rPr>
          <w:rFonts w:ascii="Times New Roman" w:eastAsia="Calibri" w:hAnsi="Times New Roman" w:cs="Times New Roman"/>
          <w:bCs/>
        </w:rPr>
      </w:pPr>
      <w:r w:rsidRPr="0078665F">
        <w:rPr>
          <w:rFonts w:ascii="Times New Roman" w:eastAsia="Calibri" w:hAnsi="Times New Roman" w:cs="Times New Roman"/>
        </w:rPr>
        <w:t>U tablici je prikaz strukture potraživanja na dan 31.12.2022. godine. Od ukupnih prikazanih potraživanja (isključen ispravak vrijednosti) na dospjela se odnosi 1.297.576 kn, a na nedospjela 253.004 kn. U dospjelim potraživanjima evidentirano je 433.090 kn utuženih potraživanja iz prijašnjih godina.</w:t>
      </w:r>
    </w:p>
    <w:p w14:paraId="125C4503" w14:textId="77777777" w:rsidR="0078665F" w:rsidRPr="0078665F" w:rsidRDefault="0078665F" w:rsidP="0078665F">
      <w:pPr>
        <w:spacing w:after="0" w:line="276" w:lineRule="auto"/>
        <w:contextualSpacing/>
        <w:jc w:val="both"/>
        <w:rPr>
          <w:rFonts w:ascii="Times New Roman" w:eastAsia="Calibri" w:hAnsi="Times New Roman" w:cs="Times New Roman"/>
        </w:rPr>
      </w:pPr>
      <w:r w:rsidRPr="0078665F">
        <w:rPr>
          <w:rFonts w:ascii="Times New Roman" w:eastAsia="Calibri" w:hAnsi="Times New Roman" w:cs="Times New Roman"/>
        </w:rPr>
        <w:t>Potraživanja od države i drugih institucija iznosi 48.642 kn, preplaćeni predujam porezna na  dobit u iznosu od  17.959 kn koristiti će se kao akontacija poreza na dobit za 2023. godinu,  potraživanja od HZZO za bolovanja u iznosu od 23.286 kn koja su naplaćena u 2023. godi,  potraživanja od osiguranja za nastalu štetu u iznosu od 2.914 kn, potraživanja za preplaćene doprinose i poreze u iznosu od 3.579 kn koji su naplaćeni u 2023. godini, te iznos pretporeza u R2 računima u iznosu od 904 kn.</w:t>
      </w:r>
    </w:p>
    <w:p w14:paraId="78D04037" w14:textId="0CD0C9B7" w:rsidR="0078665F" w:rsidRPr="0078665F" w:rsidRDefault="0078665F" w:rsidP="0078665F">
      <w:pPr>
        <w:spacing w:after="0" w:line="276" w:lineRule="auto"/>
        <w:contextualSpacing/>
        <w:jc w:val="both"/>
        <w:rPr>
          <w:rFonts w:ascii="Times New Roman" w:eastAsia="Calibri" w:hAnsi="Times New Roman" w:cs="Times New Roman"/>
        </w:rPr>
      </w:pPr>
      <w:r w:rsidRPr="0078665F">
        <w:rPr>
          <w:rFonts w:ascii="Times New Roman" w:eastAsia="Calibri" w:hAnsi="Times New Roman" w:cs="Times New Roman"/>
        </w:rPr>
        <w:t>Ostala potraživanja u iznosu od 78.407 kn odnosi se na potraživanja od karti</w:t>
      </w:r>
      <w:r w:rsidR="00EF070D">
        <w:rPr>
          <w:rFonts w:ascii="Times New Roman" w:eastAsia="Calibri" w:hAnsi="Times New Roman" w:cs="Times New Roman"/>
        </w:rPr>
        <w:t>čnih</w:t>
      </w:r>
      <w:r w:rsidRPr="0078665F">
        <w:rPr>
          <w:rFonts w:ascii="Times New Roman" w:eastAsia="Calibri" w:hAnsi="Times New Roman" w:cs="Times New Roman"/>
        </w:rPr>
        <w:t xml:space="preserve"> kuća (VISA, MAESTRO, MASTER).</w:t>
      </w:r>
    </w:p>
    <w:p w14:paraId="683C8869" w14:textId="77777777" w:rsidR="0078665F" w:rsidRPr="0078665F" w:rsidRDefault="0078665F" w:rsidP="0078665F">
      <w:pPr>
        <w:tabs>
          <w:tab w:val="right" w:pos="5103"/>
        </w:tabs>
        <w:suppressAutoHyphens/>
        <w:autoSpaceDN w:val="0"/>
        <w:spacing w:after="0" w:line="276" w:lineRule="auto"/>
        <w:jc w:val="both"/>
        <w:textAlignment w:val="baseline"/>
        <w:rPr>
          <w:rFonts w:ascii="Cambria" w:eastAsia="Calibri" w:hAnsi="Cambria" w:cs="Calibri"/>
          <w:color w:val="FF0000"/>
          <w:lang w:eastAsia="hr-HR"/>
        </w:rPr>
      </w:pPr>
    </w:p>
    <w:p w14:paraId="65338AF9" w14:textId="77777777" w:rsidR="0082278B" w:rsidRPr="00C323D2" w:rsidRDefault="0082278B" w:rsidP="00131D13">
      <w:pPr>
        <w:widowControl w:val="0"/>
        <w:spacing w:after="0" w:line="280" w:lineRule="exact"/>
        <w:jc w:val="both"/>
        <w:rPr>
          <w:rFonts w:ascii="Times New Roman" w:eastAsia="Times New Roman" w:hAnsi="Times New Roman" w:cs="Times New Roman"/>
          <w:b/>
        </w:rPr>
      </w:pPr>
    </w:p>
    <w:p w14:paraId="056771FD" w14:textId="77777777" w:rsidR="0082278B" w:rsidRPr="00C323D2" w:rsidRDefault="0082278B" w:rsidP="00131D13">
      <w:pPr>
        <w:widowControl w:val="0"/>
        <w:spacing w:after="0" w:line="280" w:lineRule="exact"/>
        <w:jc w:val="both"/>
        <w:rPr>
          <w:rFonts w:ascii="Times New Roman" w:eastAsia="Times New Roman" w:hAnsi="Times New Roman" w:cs="Times New Roman"/>
          <w:b/>
        </w:rPr>
      </w:pPr>
    </w:p>
    <w:p w14:paraId="283E8D2D" w14:textId="4D3432A7" w:rsidR="003E28E9" w:rsidRDefault="008675AD" w:rsidP="008675AD">
      <w:pPr>
        <w:widowControl w:val="0"/>
        <w:spacing w:after="0" w:line="280" w:lineRule="exact"/>
        <w:jc w:val="right"/>
        <w:rPr>
          <w:rFonts w:ascii="Times New Roman" w:eastAsia="Times New Roman" w:hAnsi="Times New Roman" w:cs="Times New Roman"/>
          <w:b/>
        </w:rPr>
      </w:pPr>
      <w:r>
        <w:rPr>
          <w:rFonts w:ascii="Times New Roman" w:eastAsia="Times New Roman" w:hAnsi="Times New Roman" w:cs="Times New Roman"/>
          <w:b/>
        </w:rPr>
        <w:t>7</w:t>
      </w:r>
    </w:p>
    <w:p w14:paraId="50D03473" w14:textId="77777777" w:rsidR="003E28E9" w:rsidRDefault="003E28E9" w:rsidP="00131D13">
      <w:pPr>
        <w:widowControl w:val="0"/>
        <w:spacing w:after="0" w:line="280" w:lineRule="exact"/>
        <w:jc w:val="both"/>
        <w:rPr>
          <w:rFonts w:ascii="Times New Roman" w:eastAsia="Times New Roman" w:hAnsi="Times New Roman" w:cs="Times New Roman"/>
          <w:b/>
        </w:rPr>
      </w:pPr>
    </w:p>
    <w:p w14:paraId="418D203F" w14:textId="02BABC23" w:rsidR="00131D13" w:rsidRPr="008675AD" w:rsidRDefault="003E28E9" w:rsidP="00131D13">
      <w:pPr>
        <w:widowControl w:val="0"/>
        <w:spacing w:after="0" w:line="280" w:lineRule="exact"/>
        <w:jc w:val="both"/>
        <w:rPr>
          <w:rFonts w:ascii="Times New Roman" w:eastAsia="Times New Roman" w:hAnsi="Times New Roman" w:cs="Times New Roman"/>
          <w:b/>
        </w:rPr>
      </w:pPr>
      <w:r w:rsidRPr="008675AD">
        <w:rPr>
          <w:rFonts w:ascii="Times New Roman" w:eastAsia="Times New Roman" w:hAnsi="Times New Roman" w:cs="Times New Roman"/>
          <w:b/>
        </w:rPr>
        <w:t>B</w:t>
      </w:r>
      <w:r w:rsidR="00131D13" w:rsidRPr="008675AD">
        <w:rPr>
          <w:rFonts w:ascii="Times New Roman" w:eastAsia="Times New Roman" w:hAnsi="Times New Roman" w:cs="Times New Roman"/>
          <w:b/>
        </w:rPr>
        <w:t>ilješka 6. Novac u banci i blagajni</w:t>
      </w:r>
    </w:p>
    <w:p w14:paraId="10016325" w14:textId="77777777" w:rsidR="0078665F" w:rsidRPr="008675AD" w:rsidRDefault="0078665F" w:rsidP="0078665F">
      <w:pPr>
        <w:spacing w:after="0" w:line="276" w:lineRule="auto"/>
        <w:contextualSpacing/>
        <w:jc w:val="both"/>
        <w:rPr>
          <w:rFonts w:ascii="Times New Roman" w:eastAsia="Calibri" w:hAnsi="Times New Roman" w:cs="Times New Roman"/>
          <w:bCs/>
        </w:rPr>
      </w:pPr>
    </w:p>
    <w:p w14:paraId="331A38CA" w14:textId="77777777" w:rsidR="0078665F" w:rsidRPr="0078665F" w:rsidRDefault="0078665F" w:rsidP="0078665F">
      <w:pPr>
        <w:spacing w:after="0" w:line="276" w:lineRule="auto"/>
        <w:contextualSpacing/>
        <w:jc w:val="both"/>
        <w:rPr>
          <w:rFonts w:ascii="Times New Roman" w:eastAsia="Calibri" w:hAnsi="Times New Roman" w:cs="Times New Roman"/>
          <w:bCs/>
        </w:rPr>
      </w:pPr>
      <w:r w:rsidRPr="0078665F">
        <w:rPr>
          <w:rFonts w:ascii="Times New Roman" w:eastAsia="Calibri" w:hAnsi="Times New Roman" w:cs="Times New Roman"/>
          <w:bCs/>
        </w:rPr>
        <w:t>Pozicija Novac u banci i blagajni bilježi porast od 34% u odnosu na 2021., stoga što se  u 2022. godini pristupilo financijskom i operativnom restrukturiranju društva.</w:t>
      </w:r>
    </w:p>
    <w:p w14:paraId="630CDF90" w14:textId="77777777" w:rsidR="003E28E9" w:rsidRPr="008675AD" w:rsidRDefault="003E28E9" w:rsidP="00F42FCB">
      <w:pPr>
        <w:spacing w:after="0" w:line="276" w:lineRule="auto"/>
        <w:contextualSpacing/>
        <w:jc w:val="both"/>
        <w:rPr>
          <w:rFonts w:ascii="Times New Roman" w:eastAsia="Calibri" w:hAnsi="Times New Roman" w:cs="Times New Roman"/>
          <w:bCs/>
        </w:rPr>
      </w:pPr>
    </w:p>
    <w:p w14:paraId="49D9B12C" w14:textId="77777777" w:rsidR="00137795" w:rsidRPr="008675AD" w:rsidRDefault="00137795" w:rsidP="00137795">
      <w:pPr>
        <w:widowControl w:val="0"/>
        <w:spacing w:after="0" w:line="280" w:lineRule="exact"/>
        <w:jc w:val="right"/>
        <w:rPr>
          <w:rFonts w:ascii="Times New Roman" w:eastAsia="Times New Roman" w:hAnsi="Times New Roman" w:cs="Times New Roman"/>
          <w:bCs/>
        </w:rPr>
      </w:pPr>
    </w:p>
    <w:p w14:paraId="3F6EC92A" w14:textId="77777777" w:rsidR="00131D13" w:rsidRPr="008675AD" w:rsidRDefault="00131D13" w:rsidP="00131D13">
      <w:pPr>
        <w:widowControl w:val="0"/>
        <w:spacing w:after="0" w:line="280" w:lineRule="exact"/>
        <w:rPr>
          <w:rFonts w:ascii="Times New Roman" w:eastAsia="Times New Roman" w:hAnsi="Times New Roman" w:cs="Times New Roman"/>
          <w:b/>
          <w:bCs/>
        </w:rPr>
      </w:pPr>
      <w:r w:rsidRPr="008675AD">
        <w:rPr>
          <w:rFonts w:ascii="Times New Roman" w:eastAsia="Times New Roman" w:hAnsi="Times New Roman" w:cs="Times New Roman"/>
          <w:b/>
          <w:bCs/>
        </w:rPr>
        <w:t>Bilješka 7. Plaćeni troškovi budućeg razdoblja i obračunati prihodi</w:t>
      </w:r>
    </w:p>
    <w:p w14:paraId="1767226A" w14:textId="77777777" w:rsidR="00422B81" w:rsidRPr="008675AD" w:rsidRDefault="00422B81" w:rsidP="00131D13">
      <w:pPr>
        <w:widowControl w:val="0"/>
        <w:spacing w:after="0" w:line="280" w:lineRule="exact"/>
        <w:rPr>
          <w:rFonts w:ascii="Times New Roman" w:eastAsia="Times New Roman" w:hAnsi="Times New Roman" w:cs="Times New Roman"/>
          <w:b/>
          <w:bCs/>
        </w:rPr>
      </w:pPr>
    </w:p>
    <w:p w14:paraId="78F525D8" w14:textId="77777777" w:rsidR="0078665F" w:rsidRPr="0078665F" w:rsidRDefault="0078665F" w:rsidP="0078665F">
      <w:pPr>
        <w:spacing w:after="0" w:line="276" w:lineRule="auto"/>
        <w:contextualSpacing/>
        <w:jc w:val="both"/>
        <w:rPr>
          <w:rFonts w:ascii="Times New Roman" w:eastAsia="Calibri" w:hAnsi="Times New Roman" w:cs="Times New Roman"/>
        </w:rPr>
      </w:pPr>
      <w:r w:rsidRPr="0078665F">
        <w:rPr>
          <w:rFonts w:ascii="Times New Roman" w:eastAsia="Calibri" w:hAnsi="Times New Roman" w:cs="Times New Roman"/>
        </w:rPr>
        <w:t>Na poziciji plaćenih troškova budućeg razdoblja i obračunatih prihoda evidentirano je 4.230 kn, što se odnosi na unaprijed plaćene troškove Bina Istra, HAC i ARZ (ENC uređaj).</w:t>
      </w:r>
    </w:p>
    <w:p w14:paraId="2D002D15" w14:textId="33BD1C58" w:rsidR="00F42FCB" w:rsidRPr="008675AD" w:rsidRDefault="00F42FCB" w:rsidP="00F42FCB">
      <w:pPr>
        <w:spacing w:after="0" w:line="276" w:lineRule="auto"/>
        <w:contextualSpacing/>
        <w:jc w:val="both"/>
        <w:rPr>
          <w:rFonts w:ascii="Times New Roman" w:eastAsia="Calibri" w:hAnsi="Times New Roman" w:cs="Times New Roman"/>
        </w:rPr>
      </w:pPr>
    </w:p>
    <w:p w14:paraId="570C3C74" w14:textId="77777777" w:rsidR="00131D13" w:rsidRPr="008675AD" w:rsidRDefault="00131D13" w:rsidP="003C5F17">
      <w:pPr>
        <w:widowControl w:val="0"/>
        <w:spacing w:after="0" w:line="280" w:lineRule="exact"/>
        <w:jc w:val="right"/>
        <w:rPr>
          <w:rFonts w:ascii="Times New Roman" w:eastAsia="Times New Roman" w:hAnsi="Times New Roman" w:cs="Times New Roman"/>
        </w:rPr>
      </w:pPr>
    </w:p>
    <w:p w14:paraId="0B7809B5" w14:textId="77777777" w:rsidR="00131D13" w:rsidRPr="008675AD" w:rsidRDefault="00131D13" w:rsidP="00131D13">
      <w:pPr>
        <w:spacing w:after="0" w:line="240" w:lineRule="auto"/>
        <w:jc w:val="both"/>
        <w:rPr>
          <w:rFonts w:ascii="Times New Roman" w:eastAsia="Times New Roman" w:hAnsi="Times New Roman" w:cs="Times New Roman"/>
          <w:b/>
        </w:rPr>
      </w:pPr>
      <w:r w:rsidRPr="008675AD">
        <w:rPr>
          <w:rFonts w:ascii="Times New Roman" w:eastAsia="Times New Roman" w:hAnsi="Times New Roman" w:cs="Times New Roman"/>
          <w:b/>
        </w:rPr>
        <w:t xml:space="preserve">Bilješka  8. </w:t>
      </w:r>
      <w:r w:rsidRPr="008675AD">
        <w:rPr>
          <w:rFonts w:ascii="Times New Roman" w:eastAsia="Times New Roman" w:hAnsi="Times New Roman" w:cs="Times New Roman"/>
          <w:b/>
        </w:rPr>
        <w:tab/>
        <w:t>Kapital i rezerve</w:t>
      </w:r>
    </w:p>
    <w:p w14:paraId="6A9FE950" w14:textId="77777777" w:rsidR="00422B81" w:rsidRPr="008675AD" w:rsidRDefault="00422B81" w:rsidP="00131D13">
      <w:pPr>
        <w:spacing w:after="0" w:line="240" w:lineRule="auto"/>
        <w:jc w:val="both"/>
        <w:rPr>
          <w:rFonts w:ascii="Times New Roman" w:eastAsia="Times New Roman" w:hAnsi="Times New Roman" w:cs="Times New Roman"/>
          <w:b/>
        </w:rPr>
      </w:pPr>
    </w:p>
    <w:p w14:paraId="0B811EC5" w14:textId="77777777" w:rsidR="0078665F" w:rsidRPr="0078665F" w:rsidRDefault="0078665F" w:rsidP="0078665F">
      <w:pPr>
        <w:spacing w:after="240" w:line="276" w:lineRule="auto"/>
        <w:contextualSpacing/>
        <w:jc w:val="both"/>
        <w:rPr>
          <w:rFonts w:ascii="Times New Roman" w:eastAsia="Calibri" w:hAnsi="Times New Roman" w:cs="Times New Roman"/>
          <w:bCs/>
          <w:szCs w:val="20"/>
        </w:rPr>
      </w:pPr>
      <w:r w:rsidRPr="0078665F">
        <w:rPr>
          <w:rFonts w:ascii="Times New Roman" w:eastAsia="Calibri" w:hAnsi="Times New Roman" w:cs="Times New Roman"/>
          <w:bCs/>
          <w:szCs w:val="20"/>
        </w:rPr>
        <w:t>Struktura skupine je sljedeća:</w:t>
      </w:r>
    </w:p>
    <w:p w14:paraId="73863585" w14:textId="77777777" w:rsidR="0078665F" w:rsidRPr="0078665F" w:rsidRDefault="0078665F" w:rsidP="0078665F">
      <w:pPr>
        <w:numPr>
          <w:ilvl w:val="0"/>
          <w:numId w:val="3"/>
        </w:numPr>
        <w:spacing w:after="0" w:line="276" w:lineRule="auto"/>
        <w:ind w:left="284" w:hanging="284"/>
        <w:contextualSpacing/>
        <w:jc w:val="both"/>
        <w:rPr>
          <w:rFonts w:ascii="Times New Roman" w:eastAsia="Calibri" w:hAnsi="Times New Roman" w:cs="Times New Roman"/>
          <w:bCs/>
          <w:szCs w:val="20"/>
        </w:rPr>
      </w:pPr>
      <w:r w:rsidRPr="0078665F">
        <w:rPr>
          <w:rFonts w:ascii="Times New Roman" w:eastAsia="Calibri" w:hAnsi="Times New Roman" w:cs="Times New Roman"/>
          <w:bCs/>
          <w:szCs w:val="20"/>
        </w:rPr>
        <w:t>Upisani temeljni kapital - 1.316.112 kn</w:t>
      </w:r>
    </w:p>
    <w:p w14:paraId="7EC013DE" w14:textId="77777777" w:rsidR="0078665F" w:rsidRPr="0078665F" w:rsidRDefault="0078665F" w:rsidP="0078665F">
      <w:pPr>
        <w:numPr>
          <w:ilvl w:val="0"/>
          <w:numId w:val="3"/>
        </w:numPr>
        <w:spacing w:after="0" w:line="276" w:lineRule="auto"/>
        <w:ind w:left="284" w:hanging="284"/>
        <w:contextualSpacing/>
        <w:jc w:val="both"/>
        <w:rPr>
          <w:rFonts w:ascii="Times New Roman" w:eastAsia="Calibri" w:hAnsi="Times New Roman" w:cs="Times New Roman"/>
          <w:bCs/>
          <w:szCs w:val="20"/>
        </w:rPr>
      </w:pPr>
      <w:r w:rsidRPr="0078665F">
        <w:rPr>
          <w:rFonts w:ascii="Times New Roman" w:eastAsia="Calibri" w:hAnsi="Times New Roman" w:cs="Times New Roman"/>
          <w:bCs/>
          <w:szCs w:val="20"/>
        </w:rPr>
        <w:t>Revalorizacijske rezerve i rezerve fer vrijednosti - 869.977 kn</w:t>
      </w:r>
    </w:p>
    <w:p w14:paraId="29C722DC" w14:textId="77777777" w:rsidR="0078665F" w:rsidRPr="0078665F" w:rsidRDefault="0078665F" w:rsidP="0078665F">
      <w:pPr>
        <w:numPr>
          <w:ilvl w:val="0"/>
          <w:numId w:val="3"/>
        </w:numPr>
        <w:spacing w:after="0" w:line="276" w:lineRule="auto"/>
        <w:ind w:left="284" w:hanging="284"/>
        <w:contextualSpacing/>
        <w:jc w:val="both"/>
        <w:rPr>
          <w:rFonts w:ascii="Times New Roman" w:eastAsia="Calibri" w:hAnsi="Times New Roman" w:cs="Times New Roman"/>
          <w:bCs/>
          <w:szCs w:val="20"/>
        </w:rPr>
      </w:pPr>
      <w:r w:rsidRPr="0078665F">
        <w:rPr>
          <w:rFonts w:ascii="Times New Roman" w:eastAsia="Calibri" w:hAnsi="Times New Roman" w:cs="Times New Roman"/>
          <w:bCs/>
          <w:szCs w:val="20"/>
        </w:rPr>
        <w:t>Zadržana dobit (dobit prijašnjih godina) – 4.045.379 kn</w:t>
      </w:r>
    </w:p>
    <w:p w14:paraId="57912B76" w14:textId="77777777" w:rsidR="0078665F" w:rsidRPr="0078665F" w:rsidRDefault="0078665F" w:rsidP="0078665F">
      <w:pPr>
        <w:numPr>
          <w:ilvl w:val="0"/>
          <w:numId w:val="3"/>
        </w:numPr>
        <w:spacing w:after="0" w:line="276" w:lineRule="auto"/>
        <w:ind w:left="284" w:hanging="284"/>
        <w:contextualSpacing/>
        <w:jc w:val="both"/>
        <w:rPr>
          <w:rFonts w:ascii="Times New Roman" w:eastAsia="Calibri" w:hAnsi="Times New Roman" w:cs="Times New Roman"/>
          <w:bCs/>
          <w:szCs w:val="20"/>
        </w:rPr>
      </w:pPr>
      <w:r w:rsidRPr="0078665F">
        <w:rPr>
          <w:rFonts w:ascii="Times New Roman" w:eastAsia="Calibri" w:hAnsi="Times New Roman" w:cs="Times New Roman"/>
          <w:bCs/>
          <w:szCs w:val="20"/>
        </w:rPr>
        <w:t>Dobit tekuće godine (dobit nakon oporezivanja) – 55.506 kn.</w:t>
      </w:r>
    </w:p>
    <w:p w14:paraId="773D2A07" w14:textId="77777777" w:rsidR="0078665F" w:rsidRPr="0078665F" w:rsidRDefault="0078665F" w:rsidP="0078665F">
      <w:pPr>
        <w:spacing w:after="0" w:line="276" w:lineRule="auto"/>
        <w:contextualSpacing/>
        <w:jc w:val="both"/>
        <w:rPr>
          <w:rFonts w:ascii="Times New Roman" w:eastAsia="Calibri" w:hAnsi="Times New Roman" w:cs="Times New Roman"/>
          <w:bCs/>
          <w:szCs w:val="20"/>
        </w:rPr>
      </w:pPr>
    </w:p>
    <w:p w14:paraId="0082386C" w14:textId="77777777" w:rsidR="0078665F" w:rsidRPr="0078665F" w:rsidRDefault="0078665F" w:rsidP="0078665F">
      <w:pPr>
        <w:spacing w:after="0" w:line="276" w:lineRule="auto"/>
        <w:contextualSpacing/>
        <w:jc w:val="both"/>
        <w:rPr>
          <w:rFonts w:ascii="Times New Roman" w:eastAsia="Calibri" w:hAnsi="Times New Roman" w:cs="Times New Roman"/>
          <w:bCs/>
          <w:szCs w:val="20"/>
        </w:rPr>
      </w:pPr>
      <w:r w:rsidRPr="0078665F">
        <w:rPr>
          <w:rFonts w:ascii="Times New Roman" w:eastAsia="Calibri" w:hAnsi="Times New Roman" w:cs="Times New Roman"/>
          <w:bCs/>
          <w:szCs w:val="20"/>
        </w:rPr>
        <w:t>Revalorizacijske rezerve ostale su nepromijenjene u odnosu na prethodnu godinu, a nastale su tijekom 1995. godine prema Zakonskim odredbama.</w:t>
      </w:r>
    </w:p>
    <w:p w14:paraId="1EBB2DAD" w14:textId="77777777" w:rsidR="0078665F" w:rsidRPr="0078665F" w:rsidRDefault="0078665F" w:rsidP="0078665F">
      <w:pPr>
        <w:spacing w:after="0" w:line="276" w:lineRule="auto"/>
        <w:contextualSpacing/>
        <w:jc w:val="both"/>
        <w:rPr>
          <w:rFonts w:ascii="Times New Roman" w:eastAsia="Calibri" w:hAnsi="Times New Roman" w:cs="Times New Roman"/>
          <w:b/>
          <w:color w:val="17365D"/>
        </w:rPr>
      </w:pPr>
    </w:p>
    <w:p w14:paraId="6C837A3B" w14:textId="77777777" w:rsidR="00552C89" w:rsidRPr="008675AD" w:rsidRDefault="00552C89" w:rsidP="00552C89">
      <w:pPr>
        <w:spacing w:after="0" w:line="276" w:lineRule="auto"/>
        <w:contextualSpacing/>
        <w:jc w:val="both"/>
        <w:rPr>
          <w:rFonts w:ascii="Times New Roman" w:eastAsia="Calibri" w:hAnsi="Times New Roman" w:cs="Times New Roman"/>
          <w:b/>
          <w:color w:val="17365D"/>
        </w:rPr>
      </w:pPr>
    </w:p>
    <w:p w14:paraId="0AF52704" w14:textId="77777777" w:rsidR="00131D13" w:rsidRPr="008675AD" w:rsidRDefault="00131D13" w:rsidP="00131D13">
      <w:pPr>
        <w:spacing w:after="0" w:line="276" w:lineRule="auto"/>
        <w:contextualSpacing/>
        <w:jc w:val="both"/>
        <w:rPr>
          <w:rFonts w:ascii="Times New Roman" w:eastAsia="Calibri" w:hAnsi="Times New Roman" w:cs="Times New Roman"/>
          <w:b/>
          <w:bCs/>
        </w:rPr>
      </w:pPr>
      <w:r w:rsidRPr="008675AD">
        <w:rPr>
          <w:rFonts w:ascii="Times New Roman" w:eastAsia="Calibri" w:hAnsi="Times New Roman" w:cs="Times New Roman"/>
          <w:b/>
          <w:bCs/>
        </w:rPr>
        <w:t>Bilješke 9. Rezerviranja</w:t>
      </w:r>
    </w:p>
    <w:p w14:paraId="7FE9787E" w14:textId="77777777" w:rsidR="003E28E9" w:rsidRPr="008675AD" w:rsidRDefault="003E28E9" w:rsidP="00F42FCB">
      <w:pPr>
        <w:spacing w:after="0" w:line="276" w:lineRule="auto"/>
        <w:contextualSpacing/>
        <w:jc w:val="both"/>
        <w:rPr>
          <w:rFonts w:ascii="Times New Roman" w:eastAsia="Times New Roman" w:hAnsi="Times New Roman" w:cs="Times New Roman"/>
          <w:noProof/>
        </w:rPr>
      </w:pPr>
    </w:p>
    <w:p w14:paraId="6B74934B" w14:textId="77777777" w:rsidR="0078665F" w:rsidRPr="0078665F" w:rsidRDefault="0078665F" w:rsidP="0078665F">
      <w:pPr>
        <w:spacing w:after="0" w:line="276" w:lineRule="auto"/>
        <w:contextualSpacing/>
        <w:jc w:val="both"/>
        <w:rPr>
          <w:rFonts w:ascii="Times New Roman" w:eastAsia="Times New Roman" w:hAnsi="Times New Roman" w:cs="Times New Roman"/>
          <w:noProof/>
        </w:rPr>
      </w:pPr>
      <w:r w:rsidRPr="0078665F">
        <w:rPr>
          <w:rFonts w:ascii="Times New Roman" w:eastAsia="Times New Roman" w:hAnsi="Times New Roman" w:cs="Times New Roman"/>
          <w:noProof/>
        </w:rPr>
        <w:t>U 2022. godini rezervirana su sredstva za započete sudske sporove i rezerviranja za mirovine i to za mirovine 33.920 kn i za sudske sporove 50.000 kn.</w:t>
      </w:r>
    </w:p>
    <w:p w14:paraId="13C693BB" w14:textId="77777777" w:rsidR="00422B81" w:rsidRPr="008675AD" w:rsidRDefault="00422B81" w:rsidP="00131D13">
      <w:pPr>
        <w:spacing w:after="0" w:line="276" w:lineRule="auto"/>
        <w:contextualSpacing/>
        <w:jc w:val="both"/>
        <w:rPr>
          <w:rFonts w:ascii="Times New Roman" w:eastAsia="Calibri" w:hAnsi="Times New Roman" w:cs="Times New Roman"/>
          <w:b/>
          <w:bCs/>
        </w:rPr>
      </w:pPr>
    </w:p>
    <w:p w14:paraId="1C0C1AAF" w14:textId="77777777" w:rsidR="00565EE1" w:rsidRPr="008675AD" w:rsidRDefault="00565EE1" w:rsidP="00131D13">
      <w:pPr>
        <w:spacing w:after="0" w:line="276" w:lineRule="auto"/>
        <w:contextualSpacing/>
        <w:jc w:val="both"/>
        <w:rPr>
          <w:rFonts w:ascii="Times New Roman" w:eastAsia="Calibri" w:hAnsi="Times New Roman" w:cs="Times New Roman"/>
        </w:rPr>
      </w:pPr>
    </w:p>
    <w:p w14:paraId="17686CD7" w14:textId="77777777" w:rsidR="00131D13" w:rsidRPr="008675AD" w:rsidRDefault="00131D13" w:rsidP="00131D13">
      <w:pPr>
        <w:spacing w:after="0" w:line="276" w:lineRule="auto"/>
        <w:contextualSpacing/>
        <w:jc w:val="both"/>
        <w:rPr>
          <w:rFonts w:ascii="Times New Roman" w:eastAsia="Calibri" w:hAnsi="Times New Roman" w:cs="Times New Roman"/>
          <w:b/>
        </w:rPr>
      </w:pPr>
      <w:r w:rsidRPr="008675AD">
        <w:rPr>
          <w:rFonts w:ascii="Times New Roman" w:eastAsia="Calibri" w:hAnsi="Times New Roman" w:cs="Times New Roman"/>
          <w:b/>
        </w:rPr>
        <w:t>Bilješke 10. Dugoročne obveze</w:t>
      </w:r>
    </w:p>
    <w:p w14:paraId="04D83CDA" w14:textId="77777777" w:rsidR="0078665F" w:rsidRPr="008675AD" w:rsidRDefault="0078665F" w:rsidP="0078665F">
      <w:pPr>
        <w:spacing w:after="0" w:line="276" w:lineRule="auto"/>
        <w:contextualSpacing/>
        <w:jc w:val="both"/>
        <w:rPr>
          <w:rFonts w:ascii="Times New Roman" w:eastAsia="Calibri" w:hAnsi="Times New Roman" w:cs="Times New Roman"/>
        </w:rPr>
      </w:pPr>
    </w:p>
    <w:p w14:paraId="5EA3FEDF" w14:textId="77777777" w:rsidR="0078665F" w:rsidRPr="0078665F" w:rsidRDefault="0078665F" w:rsidP="0078665F">
      <w:pPr>
        <w:spacing w:after="0" w:line="276" w:lineRule="auto"/>
        <w:contextualSpacing/>
        <w:jc w:val="both"/>
        <w:rPr>
          <w:rFonts w:ascii="Times New Roman" w:eastAsia="Calibri" w:hAnsi="Times New Roman" w:cs="Times New Roman"/>
        </w:rPr>
      </w:pPr>
      <w:r w:rsidRPr="0078665F">
        <w:rPr>
          <w:rFonts w:ascii="Times New Roman" w:eastAsia="Calibri" w:hAnsi="Times New Roman" w:cs="Times New Roman"/>
        </w:rPr>
        <w:t xml:space="preserve">Na dan 31.12.2022. Društvo je evidentiralo 3.294.166 kn obveza prema bankama i drugim financijskim institucijama. </w:t>
      </w:r>
    </w:p>
    <w:p w14:paraId="547597AA" w14:textId="77777777" w:rsidR="0078665F" w:rsidRPr="0078665F" w:rsidRDefault="0078665F" w:rsidP="0078665F">
      <w:pPr>
        <w:spacing w:after="0" w:line="276" w:lineRule="auto"/>
        <w:contextualSpacing/>
        <w:jc w:val="both"/>
        <w:rPr>
          <w:rFonts w:ascii="Times New Roman" w:eastAsia="Calibri" w:hAnsi="Times New Roman" w:cs="Times New Roman"/>
        </w:rPr>
      </w:pPr>
    </w:p>
    <w:p w14:paraId="3E4828C1" w14:textId="77777777" w:rsidR="0078665F" w:rsidRPr="0078665F" w:rsidRDefault="0078665F" w:rsidP="0078665F">
      <w:pPr>
        <w:spacing w:after="0" w:line="276" w:lineRule="auto"/>
        <w:contextualSpacing/>
        <w:jc w:val="both"/>
        <w:rPr>
          <w:rFonts w:ascii="Times New Roman" w:eastAsia="Calibri" w:hAnsi="Times New Roman" w:cs="Times New Roman"/>
        </w:rPr>
      </w:pPr>
      <w:r w:rsidRPr="0078665F">
        <w:rPr>
          <w:rFonts w:ascii="Times New Roman" w:eastAsia="Calibri" w:hAnsi="Times New Roman" w:cs="Times New Roman"/>
        </w:rPr>
        <w:t xml:space="preserve">Evidentirana obveza odnosi se na podignuti kredit u 2018. godini u ukupnom iznosu od 6.700.000 kn u poslovnoj banci ZABA d.d. Zagreb za dugoročno kreditiranje u svrhu financiranja rekonstrukciju građenje posebne namjene - proširenje Gradskog groblja Monte </w:t>
      </w:r>
      <w:proofErr w:type="spellStart"/>
      <w:r w:rsidRPr="0078665F">
        <w:rPr>
          <w:rFonts w:ascii="Times New Roman" w:eastAsia="Calibri" w:hAnsi="Times New Roman" w:cs="Times New Roman"/>
        </w:rPr>
        <w:t>Ghiro</w:t>
      </w:r>
      <w:proofErr w:type="spellEnd"/>
      <w:r w:rsidRPr="0078665F">
        <w:rPr>
          <w:rFonts w:ascii="Times New Roman" w:eastAsia="Calibri" w:hAnsi="Times New Roman" w:cs="Times New Roman"/>
        </w:rPr>
        <w:t xml:space="preserve"> u Puli 1.FAZA i 2. FAZA. na rok od 10 godina (deset godina) na 120 jednakih mjesečnih rata sa dospijećem posljednjeg dana svakog mjeseca. Kamatna stopa iznosi 1,60% godišnje promjenjiva, primjenom proporcionalne metode na temelju stvarnog broja dana u kamatnom razdoblju, obračunato na stanje glavnice kredita. Ne naplaćuje se naknada za prijevremeni povrat kredita (djelomično  ili u cijelosti). Ukupni troškovi kredita iznose 569.859 kn. Mjesečna otplatna kvota iznosi 55.833 kn plus kamata.</w:t>
      </w:r>
    </w:p>
    <w:p w14:paraId="71503F57" w14:textId="77777777" w:rsidR="0078665F" w:rsidRPr="008675AD" w:rsidRDefault="0078665F" w:rsidP="0078665F">
      <w:pPr>
        <w:spacing w:after="0" w:line="276" w:lineRule="auto"/>
        <w:contextualSpacing/>
        <w:jc w:val="both"/>
        <w:rPr>
          <w:rFonts w:ascii="Times New Roman" w:eastAsia="Calibri" w:hAnsi="Times New Roman" w:cs="Times New Roman"/>
        </w:rPr>
      </w:pPr>
    </w:p>
    <w:p w14:paraId="66880E40" w14:textId="77777777" w:rsidR="008675AD" w:rsidRPr="008675AD" w:rsidRDefault="008675AD" w:rsidP="0078665F">
      <w:pPr>
        <w:spacing w:after="0" w:line="276" w:lineRule="auto"/>
        <w:contextualSpacing/>
        <w:jc w:val="both"/>
        <w:rPr>
          <w:rFonts w:ascii="Times New Roman" w:eastAsia="Calibri" w:hAnsi="Times New Roman" w:cs="Times New Roman"/>
        </w:rPr>
      </w:pPr>
    </w:p>
    <w:p w14:paraId="7A66EE4C" w14:textId="77777777" w:rsidR="008675AD" w:rsidRDefault="008675AD" w:rsidP="008675AD">
      <w:pPr>
        <w:spacing w:after="0" w:line="276" w:lineRule="auto"/>
        <w:contextualSpacing/>
        <w:jc w:val="right"/>
        <w:rPr>
          <w:rFonts w:ascii="Times New Roman" w:eastAsia="Calibri" w:hAnsi="Times New Roman" w:cs="Times New Roman"/>
        </w:rPr>
      </w:pPr>
    </w:p>
    <w:p w14:paraId="0C97A870" w14:textId="3125757B" w:rsidR="008675AD" w:rsidRPr="0078665F" w:rsidRDefault="008675AD" w:rsidP="008675AD">
      <w:pPr>
        <w:spacing w:after="0" w:line="276" w:lineRule="auto"/>
        <w:contextualSpacing/>
        <w:jc w:val="right"/>
        <w:rPr>
          <w:rFonts w:ascii="Times New Roman" w:eastAsia="Calibri" w:hAnsi="Times New Roman" w:cs="Times New Roman"/>
        </w:rPr>
      </w:pPr>
      <w:r w:rsidRPr="008675AD">
        <w:rPr>
          <w:rFonts w:ascii="Times New Roman" w:eastAsia="Calibri" w:hAnsi="Times New Roman" w:cs="Times New Roman"/>
        </w:rPr>
        <w:t>8</w:t>
      </w:r>
    </w:p>
    <w:p w14:paraId="2E9AD488" w14:textId="77777777" w:rsidR="0078665F" w:rsidRPr="0078665F" w:rsidRDefault="0078665F" w:rsidP="0078665F">
      <w:pPr>
        <w:spacing w:after="0" w:line="276" w:lineRule="auto"/>
        <w:contextualSpacing/>
        <w:jc w:val="both"/>
        <w:rPr>
          <w:rFonts w:ascii="Times New Roman" w:eastAsia="Calibri" w:hAnsi="Times New Roman" w:cs="Times New Roman"/>
        </w:rPr>
      </w:pPr>
      <w:r w:rsidRPr="0078665F">
        <w:rPr>
          <w:rFonts w:ascii="Times New Roman" w:eastAsia="Calibri" w:hAnsi="Times New Roman" w:cs="Times New Roman"/>
        </w:rPr>
        <w:lastRenderedPageBreak/>
        <w:t>U 2022. godini otplaćen je iznos od 670.000 kn, a obveza glavnice za 2023. godinu i kamata koja dospijeva u siječnju 2023. godine iskazane su na poziciji kratkoročne obveze prema bankama i dr. financijskim  institucijama u iznosu od 675.114 kn.</w:t>
      </w:r>
    </w:p>
    <w:p w14:paraId="1C242F9A" w14:textId="77777777" w:rsidR="00C327EE" w:rsidRPr="008675AD" w:rsidRDefault="00C327EE" w:rsidP="00C327EE">
      <w:pPr>
        <w:spacing w:after="0" w:line="276" w:lineRule="auto"/>
        <w:jc w:val="both"/>
        <w:rPr>
          <w:rFonts w:ascii="Times New Roman" w:eastAsia="Calibri" w:hAnsi="Times New Roman" w:cs="Times New Roman"/>
        </w:rPr>
      </w:pPr>
    </w:p>
    <w:p w14:paraId="13F08D3B" w14:textId="7D3CDDD9" w:rsidR="00DB5243" w:rsidRPr="008675AD" w:rsidRDefault="00DB5243" w:rsidP="005364B4">
      <w:pPr>
        <w:widowControl w:val="0"/>
        <w:spacing w:after="0" w:line="280" w:lineRule="exact"/>
        <w:jc w:val="right"/>
        <w:rPr>
          <w:rFonts w:ascii="Times New Roman" w:eastAsia="Times New Roman" w:hAnsi="Times New Roman" w:cs="Times New Roman"/>
        </w:rPr>
      </w:pPr>
    </w:p>
    <w:p w14:paraId="76E9FCEF" w14:textId="77777777" w:rsidR="00131D13" w:rsidRPr="008675AD" w:rsidRDefault="00131D13" w:rsidP="00131D13">
      <w:pPr>
        <w:widowControl w:val="0"/>
        <w:spacing w:after="0" w:line="280" w:lineRule="exact"/>
        <w:jc w:val="both"/>
        <w:rPr>
          <w:rFonts w:ascii="Times New Roman" w:eastAsia="Times New Roman" w:hAnsi="Times New Roman" w:cs="Times New Roman"/>
          <w:b/>
        </w:rPr>
      </w:pPr>
      <w:r w:rsidRPr="008675AD">
        <w:rPr>
          <w:rFonts w:ascii="Times New Roman" w:eastAsia="Times New Roman" w:hAnsi="Times New Roman" w:cs="Times New Roman"/>
          <w:b/>
        </w:rPr>
        <w:t>Bilješka 11. Kratkoročne obveze</w:t>
      </w:r>
    </w:p>
    <w:p w14:paraId="3AC06A2B" w14:textId="77777777" w:rsidR="003E28E9" w:rsidRPr="008675AD" w:rsidRDefault="003E28E9" w:rsidP="00F42FCB">
      <w:pPr>
        <w:spacing w:after="0" w:line="276" w:lineRule="auto"/>
        <w:contextualSpacing/>
        <w:jc w:val="both"/>
        <w:rPr>
          <w:rFonts w:ascii="Times New Roman" w:eastAsia="Calibri" w:hAnsi="Times New Roman" w:cs="Times New Roman"/>
        </w:rPr>
      </w:pPr>
    </w:p>
    <w:p w14:paraId="29AF2593" w14:textId="77777777" w:rsidR="003B0D9E" w:rsidRPr="003B0D9E" w:rsidRDefault="003B0D9E" w:rsidP="003B0D9E">
      <w:pPr>
        <w:spacing w:after="0" w:line="276" w:lineRule="auto"/>
        <w:contextualSpacing/>
        <w:jc w:val="both"/>
        <w:rPr>
          <w:rFonts w:ascii="Times New Roman" w:eastAsia="Calibri" w:hAnsi="Times New Roman" w:cs="Times New Roman"/>
        </w:rPr>
      </w:pPr>
      <w:r w:rsidRPr="003B0D9E">
        <w:rPr>
          <w:rFonts w:ascii="Times New Roman" w:eastAsia="Calibri" w:hAnsi="Times New Roman" w:cs="Times New Roman"/>
        </w:rPr>
        <w:t xml:space="preserve">Kratkoročne obveze na zadnji dan 2022. godine iznose 1.952.739 kn te bilježe povećanje vrijednosti od 19% u odnosu na 2021. godinu. </w:t>
      </w:r>
    </w:p>
    <w:p w14:paraId="3F41449B" w14:textId="77777777" w:rsidR="003B0D9E" w:rsidRPr="003B0D9E" w:rsidRDefault="003B0D9E" w:rsidP="003B0D9E">
      <w:pPr>
        <w:spacing w:after="0" w:line="276" w:lineRule="auto"/>
        <w:contextualSpacing/>
        <w:jc w:val="both"/>
        <w:rPr>
          <w:rFonts w:ascii="Times New Roman" w:eastAsia="Calibri" w:hAnsi="Times New Roman" w:cs="Times New Roman"/>
        </w:rPr>
      </w:pPr>
    </w:p>
    <w:p w14:paraId="45F1BDBC" w14:textId="77777777" w:rsidR="003B0D9E" w:rsidRPr="003B0D9E" w:rsidRDefault="003B0D9E" w:rsidP="003B0D9E">
      <w:pPr>
        <w:spacing w:after="0" w:line="276" w:lineRule="auto"/>
        <w:contextualSpacing/>
        <w:jc w:val="both"/>
        <w:rPr>
          <w:rFonts w:ascii="Times New Roman" w:eastAsia="Calibri" w:hAnsi="Times New Roman" w:cs="Times New Roman"/>
        </w:rPr>
      </w:pPr>
      <w:r w:rsidRPr="003B0D9E">
        <w:rPr>
          <w:rFonts w:ascii="Times New Roman" w:eastAsia="Calibri" w:hAnsi="Times New Roman" w:cs="Times New Roman"/>
        </w:rPr>
        <w:t>Najznačajnija pozicija unutar istih jesu obveze za kredit ZABE (dio glavnice koja dospijeva u 2023. u iznosu od 675.114 kn),</w:t>
      </w:r>
      <w:r w:rsidRPr="003B0D9E">
        <w:rPr>
          <w:rFonts w:ascii="Times New Roman" w:eastAsia="Calibri" w:hAnsi="Times New Roman" w:cs="Times New Roman"/>
          <w:color w:val="FF0000"/>
        </w:rPr>
        <w:t xml:space="preserve"> </w:t>
      </w:r>
      <w:r w:rsidRPr="003B0D9E">
        <w:rPr>
          <w:rFonts w:ascii="Times New Roman" w:eastAsia="Calibri" w:hAnsi="Times New Roman" w:cs="Times New Roman"/>
        </w:rPr>
        <w:t>obveze  prema dobavljačima (590.130 kn), zatim slijede obveze za poreze, doprinose i druga javna davanja (316.914 kn), obveze prema radnicima (335.323 kn), obveza za depozit (30.000 kn), obveze za predujmove (2.142 kn), te ostale kratkoročne obveze (3.116 kn).</w:t>
      </w:r>
    </w:p>
    <w:p w14:paraId="66089D73" w14:textId="77777777" w:rsidR="003B0D9E" w:rsidRPr="003B0D9E" w:rsidRDefault="003B0D9E" w:rsidP="003B0D9E">
      <w:pPr>
        <w:spacing w:after="0" w:line="276" w:lineRule="auto"/>
        <w:contextualSpacing/>
        <w:jc w:val="both"/>
        <w:rPr>
          <w:rFonts w:ascii="Times New Roman" w:eastAsia="Calibri" w:hAnsi="Times New Roman" w:cs="Times New Roman"/>
        </w:rPr>
      </w:pPr>
    </w:p>
    <w:p w14:paraId="738D41E8" w14:textId="77777777" w:rsidR="003B0D9E" w:rsidRPr="003B0D9E" w:rsidRDefault="003B0D9E" w:rsidP="003B0D9E">
      <w:pPr>
        <w:spacing w:after="0" w:line="276" w:lineRule="auto"/>
        <w:contextualSpacing/>
        <w:jc w:val="both"/>
        <w:rPr>
          <w:rFonts w:ascii="Times New Roman" w:eastAsia="Calibri" w:hAnsi="Times New Roman" w:cs="Times New Roman"/>
        </w:rPr>
      </w:pPr>
      <w:r w:rsidRPr="003B0D9E">
        <w:rPr>
          <w:rFonts w:ascii="Times New Roman" w:eastAsia="Calibri" w:hAnsi="Times New Roman" w:cs="Times New Roman"/>
        </w:rPr>
        <w:t>Obveze prema dobavljačima evidentirane su u iznosu od 590.130 kn što je za 51% više u odnosu na početno stanje. Na dospjele obveze odnosi se iznos od 23.909</w:t>
      </w:r>
      <w:r w:rsidRPr="003B0D9E">
        <w:rPr>
          <w:rFonts w:ascii="Times New Roman" w:eastAsia="Calibri" w:hAnsi="Times New Roman" w:cs="Times New Roman"/>
          <w:color w:val="FF0000"/>
        </w:rPr>
        <w:t xml:space="preserve"> </w:t>
      </w:r>
      <w:r w:rsidRPr="003B0D9E">
        <w:rPr>
          <w:rFonts w:ascii="Times New Roman" w:eastAsia="Calibri" w:hAnsi="Times New Roman" w:cs="Times New Roman"/>
        </w:rPr>
        <w:t>kn, a na nedospjele 566.221</w:t>
      </w:r>
      <w:r w:rsidRPr="003B0D9E">
        <w:rPr>
          <w:rFonts w:ascii="Times New Roman" w:eastAsia="Calibri" w:hAnsi="Times New Roman" w:cs="Times New Roman"/>
          <w:color w:val="FF0000"/>
        </w:rPr>
        <w:t xml:space="preserve"> </w:t>
      </w:r>
      <w:r w:rsidRPr="003B0D9E">
        <w:rPr>
          <w:rFonts w:ascii="Times New Roman" w:eastAsia="Calibri" w:hAnsi="Times New Roman" w:cs="Times New Roman"/>
        </w:rPr>
        <w:t xml:space="preserve">kn. </w:t>
      </w:r>
    </w:p>
    <w:p w14:paraId="0D264829" w14:textId="77777777" w:rsidR="003B0D9E" w:rsidRPr="003B0D9E" w:rsidRDefault="003B0D9E" w:rsidP="003B0D9E">
      <w:pPr>
        <w:spacing w:after="0" w:line="276" w:lineRule="auto"/>
        <w:contextualSpacing/>
        <w:jc w:val="both"/>
        <w:rPr>
          <w:rFonts w:ascii="Times New Roman" w:eastAsia="Calibri" w:hAnsi="Times New Roman" w:cs="Times New Roman"/>
        </w:rPr>
      </w:pPr>
    </w:p>
    <w:p w14:paraId="10AB0F82" w14:textId="77777777" w:rsidR="003B0D9E" w:rsidRPr="003B0D9E" w:rsidRDefault="003B0D9E" w:rsidP="003B0D9E">
      <w:pPr>
        <w:spacing w:after="0" w:line="276" w:lineRule="auto"/>
        <w:contextualSpacing/>
        <w:jc w:val="center"/>
        <w:rPr>
          <w:rFonts w:ascii="Times New Roman" w:eastAsia="Calibri" w:hAnsi="Times New Roman" w:cs="Times New Roman"/>
          <w:bCs/>
          <w:i/>
        </w:rPr>
      </w:pPr>
      <w:r w:rsidRPr="003B0D9E">
        <w:rPr>
          <w:rFonts w:ascii="Times New Roman" w:eastAsia="Calibri" w:hAnsi="Times New Roman" w:cs="Times New Roman"/>
          <w:bCs/>
          <w:i/>
        </w:rPr>
        <w:t>Struktura obveza prema dobavljačima na 31.12.2022. godine</w:t>
      </w:r>
    </w:p>
    <w:p w14:paraId="0D7EB410" w14:textId="77777777" w:rsidR="003B0D9E" w:rsidRPr="003B0D9E" w:rsidRDefault="003B0D9E" w:rsidP="003B0D9E">
      <w:pPr>
        <w:spacing w:after="0" w:line="276" w:lineRule="auto"/>
        <w:contextualSpacing/>
        <w:jc w:val="center"/>
        <w:rPr>
          <w:rFonts w:ascii="Times New Roman" w:eastAsia="Calibri" w:hAnsi="Times New Roman" w:cs="Times New Roman"/>
          <w:bCs/>
          <w:i/>
        </w:rPr>
      </w:pPr>
    </w:p>
    <w:tbl>
      <w:tblPr>
        <w:tblW w:w="0" w:type="auto"/>
        <w:jc w:val="center"/>
        <w:tblBorders>
          <w:insideH w:val="single" w:sz="18" w:space="0" w:color="FFFFFF"/>
          <w:insideV w:val="single" w:sz="18" w:space="0" w:color="FFFFFF"/>
        </w:tblBorders>
        <w:shd w:val="clear" w:color="auto" w:fill="F2F2F2"/>
        <w:tblLook w:val="04A0" w:firstRow="1" w:lastRow="0" w:firstColumn="1" w:lastColumn="0" w:noHBand="0" w:noVBand="1"/>
      </w:tblPr>
      <w:tblGrid>
        <w:gridCol w:w="2819"/>
        <w:gridCol w:w="2261"/>
        <w:gridCol w:w="1230"/>
        <w:gridCol w:w="1889"/>
      </w:tblGrid>
      <w:tr w:rsidR="003B0D9E" w:rsidRPr="003B0D9E" w14:paraId="408DE0B9" w14:textId="77777777" w:rsidTr="00315BD3">
        <w:trPr>
          <w:trHeight w:val="283"/>
          <w:jc w:val="center"/>
        </w:trPr>
        <w:tc>
          <w:tcPr>
            <w:tcW w:w="2819" w:type="dxa"/>
            <w:shd w:val="clear" w:color="auto" w:fill="F2F2F2"/>
            <w:vAlign w:val="center"/>
          </w:tcPr>
          <w:p w14:paraId="50CE8860" w14:textId="77777777" w:rsidR="003B0D9E" w:rsidRPr="003B0D9E" w:rsidRDefault="003B0D9E" w:rsidP="003B0D9E">
            <w:pPr>
              <w:spacing w:after="0" w:line="276" w:lineRule="auto"/>
              <w:contextualSpacing/>
              <w:jc w:val="center"/>
              <w:rPr>
                <w:rFonts w:ascii="Times New Roman" w:eastAsia="Calibri" w:hAnsi="Times New Roman" w:cs="Times New Roman"/>
                <w:b/>
                <w:bCs/>
                <w:sz w:val="18"/>
                <w:szCs w:val="20"/>
              </w:rPr>
            </w:pPr>
            <w:r w:rsidRPr="003B0D9E">
              <w:rPr>
                <w:rFonts w:ascii="Times New Roman" w:eastAsia="Calibri" w:hAnsi="Times New Roman" w:cs="Times New Roman"/>
                <w:b/>
                <w:bCs/>
                <w:sz w:val="18"/>
                <w:szCs w:val="20"/>
              </w:rPr>
              <w:t>Naziv dobavljača</w:t>
            </w:r>
          </w:p>
        </w:tc>
        <w:tc>
          <w:tcPr>
            <w:tcW w:w="2261" w:type="dxa"/>
            <w:shd w:val="clear" w:color="auto" w:fill="F2F2F2"/>
            <w:vAlign w:val="center"/>
          </w:tcPr>
          <w:p w14:paraId="1E52BE6B" w14:textId="77777777" w:rsidR="003B0D9E" w:rsidRPr="003B0D9E" w:rsidRDefault="003B0D9E" w:rsidP="003B0D9E">
            <w:pPr>
              <w:spacing w:after="0" w:line="276" w:lineRule="auto"/>
              <w:contextualSpacing/>
              <w:jc w:val="center"/>
              <w:rPr>
                <w:rFonts w:ascii="Times New Roman" w:eastAsia="Calibri" w:hAnsi="Times New Roman" w:cs="Times New Roman"/>
                <w:b/>
                <w:bCs/>
                <w:sz w:val="18"/>
                <w:szCs w:val="20"/>
              </w:rPr>
            </w:pPr>
            <w:r w:rsidRPr="003B0D9E">
              <w:rPr>
                <w:rFonts w:ascii="Times New Roman" w:eastAsia="Calibri" w:hAnsi="Times New Roman" w:cs="Times New Roman"/>
                <w:b/>
                <w:bCs/>
                <w:sz w:val="18"/>
                <w:szCs w:val="20"/>
              </w:rPr>
              <w:t>Promet</w:t>
            </w:r>
          </w:p>
        </w:tc>
        <w:tc>
          <w:tcPr>
            <w:tcW w:w="1230" w:type="dxa"/>
            <w:shd w:val="clear" w:color="auto" w:fill="F2F2F2"/>
            <w:vAlign w:val="center"/>
          </w:tcPr>
          <w:p w14:paraId="675FC5CB" w14:textId="77777777" w:rsidR="003B0D9E" w:rsidRPr="003B0D9E" w:rsidRDefault="003B0D9E" w:rsidP="003B0D9E">
            <w:pPr>
              <w:spacing w:after="0" w:line="276" w:lineRule="auto"/>
              <w:contextualSpacing/>
              <w:jc w:val="center"/>
              <w:rPr>
                <w:rFonts w:ascii="Times New Roman" w:eastAsia="Calibri" w:hAnsi="Times New Roman" w:cs="Times New Roman"/>
                <w:b/>
                <w:bCs/>
                <w:sz w:val="18"/>
                <w:szCs w:val="20"/>
              </w:rPr>
            </w:pPr>
            <w:r w:rsidRPr="003B0D9E">
              <w:rPr>
                <w:rFonts w:ascii="Times New Roman" w:eastAsia="Calibri" w:hAnsi="Times New Roman" w:cs="Times New Roman"/>
                <w:b/>
                <w:bCs/>
                <w:sz w:val="18"/>
                <w:szCs w:val="20"/>
              </w:rPr>
              <w:t>Podmireno</w:t>
            </w:r>
          </w:p>
        </w:tc>
        <w:tc>
          <w:tcPr>
            <w:tcW w:w="1889" w:type="dxa"/>
            <w:shd w:val="clear" w:color="auto" w:fill="F2F2F2"/>
          </w:tcPr>
          <w:p w14:paraId="6033DC0E" w14:textId="77777777" w:rsidR="003B0D9E" w:rsidRPr="003B0D9E" w:rsidRDefault="003B0D9E" w:rsidP="003B0D9E">
            <w:pPr>
              <w:spacing w:after="0" w:line="276" w:lineRule="auto"/>
              <w:contextualSpacing/>
              <w:jc w:val="center"/>
              <w:rPr>
                <w:rFonts w:ascii="Times New Roman" w:eastAsia="Calibri" w:hAnsi="Times New Roman" w:cs="Times New Roman"/>
                <w:b/>
                <w:bCs/>
                <w:sz w:val="18"/>
                <w:szCs w:val="20"/>
              </w:rPr>
            </w:pPr>
            <w:r w:rsidRPr="003B0D9E">
              <w:rPr>
                <w:rFonts w:ascii="Times New Roman" w:eastAsia="Calibri" w:hAnsi="Times New Roman" w:cs="Times New Roman"/>
                <w:b/>
                <w:bCs/>
                <w:sz w:val="18"/>
                <w:szCs w:val="20"/>
              </w:rPr>
              <w:t>Stanje obveze na 31.12.</w:t>
            </w:r>
          </w:p>
        </w:tc>
      </w:tr>
      <w:tr w:rsidR="003B0D9E" w:rsidRPr="003B0D9E" w14:paraId="4C15A82B" w14:textId="77777777" w:rsidTr="00315BD3">
        <w:trPr>
          <w:trHeight w:val="283"/>
          <w:jc w:val="center"/>
        </w:trPr>
        <w:tc>
          <w:tcPr>
            <w:tcW w:w="2819" w:type="dxa"/>
            <w:tcBorders>
              <w:top w:val="single" w:sz="18" w:space="0" w:color="FFFFFF"/>
              <w:left w:val="nil"/>
              <w:bottom w:val="nil"/>
              <w:right w:val="single" w:sz="18" w:space="0" w:color="FFFFFF"/>
            </w:tcBorders>
            <w:shd w:val="clear" w:color="auto" w:fill="auto"/>
          </w:tcPr>
          <w:p w14:paraId="1DF2F8AB" w14:textId="77777777" w:rsidR="003B0D9E" w:rsidRPr="003B0D9E" w:rsidRDefault="003B0D9E" w:rsidP="003B0D9E">
            <w:pPr>
              <w:spacing w:after="0" w:line="276" w:lineRule="auto"/>
              <w:rPr>
                <w:rFonts w:ascii="Times New Roman" w:eastAsia="Calibri" w:hAnsi="Times New Roman" w:cs="Times New Roman"/>
                <w:sz w:val="18"/>
                <w:szCs w:val="20"/>
              </w:rPr>
            </w:pPr>
            <w:r w:rsidRPr="003B0D9E">
              <w:rPr>
                <w:rFonts w:ascii="Times New Roman" w:eastAsia="Calibri" w:hAnsi="Times New Roman" w:cs="Times New Roman"/>
                <w:sz w:val="18"/>
                <w:szCs w:val="20"/>
              </w:rPr>
              <w:t>Glas Istre novine d.o.o. Pula</w:t>
            </w:r>
          </w:p>
        </w:tc>
        <w:tc>
          <w:tcPr>
            <w:tcW w:w="2261" w:type="dxa"/>
            <w:tcBorders>
              <w:top w:val="single" w:sz="18" w:space="0" w:color="FFFFFF"/>
              <w:left w:val="single" w:sz="18" w:space="0" w:color="FFFFFF"/>
              <w:bottom w:val="nil"/>
              <w:right w:val="single" w:sz="18" w:space="0" w:color="FFFFFF"/>
            </w:tcBorders>
            <w:shd w:val="clear" w:color="auto" w:fill="auto"/>
          </w:tcPr>
          <w:p w14:paraId="0D3A7B56"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583.962</w:t>
            </w:r>
          </w:p>
        </w:tc>
        <w:tc>
          <w:tcPr>
            <w:tcW w:w="1230" w:type="dxa"/>
            <w:tcBorders>
              <w:top w:val="single" w:sz="18" w:space="0" w:color="FFFFFF"/>
              <w:left w:val="single" w:sz="18" w:space="0" w:color="FFFFFF"/>
              <w:bottom w:val="nil"/>
              <w:right w:val="single" w:sz="18" w:space="0" w:color="FFFFFF"/>
            </w:tcBorders>
            <w:shd w:val="clear" w:color="auto" w:fill="auto"/>
          </w:tcPr>
          <w:p w14:paraId="179A4319"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558.540</w:t>
            </w:r>
          </w:p>
        </w:tc>
        <w:tc>
          <w:tcPr>
            <w:tcW w:w="1889" w:type="dxa"/>
            <w:tcBorders>
              <w:top w:val="single" w:sz="18" w:space="0" w:color="FFFFFF"/>
              <w:left w:val="single" w:sz="18" w:space="0" w:color="FFFFFF"/>
              <w:bottom w:val="nil"/>
              <w:right w:val="nil"/>
            </w:tcBorders>
            <w:shd w:val="clear" w:color="auto" w:fill="auto"/>
          </w:tcPr>
          <w:p w14:paraId="140CDA0C"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25.422</w:t>
            </w:r>
          </w:p>
        </w:tc>
      </w:tr>
      <w:tr w:rsidR="003B0D9E" w:rsidRPr="003B0D9E" w14:paraId="75F70930" w14:textId="77777777" w:rsidTr="00315BD3">
        <w:trPr>
          <w:trHeight w:val="283"/>
          <w:jc w:val="center"/>
        </w:trPr>
        <w:tc>
          <w:tcPr>
            <w:tcW w:w="2819" w:type="dxa"/>
            <w:tcBorders>
              <w:top w:val="nil"/>
              <w:left w:val="nil"/>
              <w:bottom w:val="nil"/>
              <w:right w:val="single" w:sz="18" w:space="0" w:color="FFFFFF"/>
            </w:tcBorders>
            <w:shd w:val="clear" w:color="auto" w:fill="F2F2F2"/>
          </w:tcPr>
          <w:p w14:paraId="75E16118" w14:textId="77777777" w:rsidR="003B0D9E" w:rsidRPr="003B0D9E" w:rsidRDefault="003B0D9E" w:rsidP="003B0D9E">
            <w:pPr>
              <w:spacing w:after="0" w:line="276" w:lineRule="auto"/>
              <w:rPr>
                <w:rFonts w:ascii="Times New Roman" w:eastAsia="Calibri" w:hAnsi="Times New Roman" w:cs="Times New Roman"/>
                <w:sz w:val="18"/>
                <w:szCs w:val="20"/>
              </w:rPr>
            </w:pPr>
            <w:r w:rsidRPr="003B0D9E">
              <w:rPr>
                <w:rFonts w:ascii="Times New Roman" w:eastAsia="Calibri" w:hAnsi="Times New Roman" w:cs="Times New Roman"/>
                <w:sz w:val="18"/>
                <w:szCs w:val="20"/>
              </w:rPr>
              <w:t>EDRA d.o.o. Buzet</w:t>
            </w:r>
          </w:p>
        </w:tc>
        <w:tc>
          <w:tcPr>
            <w:tcW w:w="2261" w:type="dxa"/>
            <w:tcBorders>
              <w:top w:val="nil"/>
              <w:left w:val="single" w:sz="18" w:space="0" w:color="FFFFFF"/>
              <w:bottom w:val="nil"/>
              <w:right w:val="single" w:sz="18" w:space="0" w:color="FFFFFF"/>
            </w:tcBorders>
            <w:shd w:val="clear" w:color="auto" w:fill="F2F2F2"/>
          </w:tcPr>
          <w:p w14:paraId="6256D000"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389.271</w:t>
            </w:r>
          </w:p>
        </w:tc>
        <w:tc>
          <w:tcPr>
            <w:tcW w:w="1230" w:type="dxa"/>
            <w:tcBorders>
              <w:top w:val="nil"/>
              <w:left w:val="single" w:sz="18" w:space="0" w:color="FFFFFF"/>
              <w:bottom w:val="nil"/>
              <w:right w:val="single" w:sz="18" w:space="0" w:color="FFFFFF"/>
            </w:tcBorders>
            <w:shd w:val="clear" w:color="auto" w:fill="F2F2F2"/>
          </w:tcPr>
          <w:p w14:paraId="37767AA0"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354.754</w:t>
            </w:r>
          </w:p>
        </w:tc>
        <w:tc>
          <w:tcPr>
            <w:tcW w:w="1889" w:type="dxa"/>
            <w:tcBorders>
              <w:top w:val="nil"/>
              <w:left w:val="single" w:sz="18" w:space="0" w:color="FFFFFF"/>
              <w:bottom w:val="nil"/>
              <w:right w:val="nil"/>
            </w:tcBorders>
            <w:shd w:val="clear" w:color="auto" w:fill="F2F2F2"/>
          </w:tcPr>
          <w:p w14:paraId="574B11CF"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 xml:space="preserve"> 34.517</w:t>
            </w:r>
          </w:p>
        </w:tc>
      </w:tr>
      <w:tr w:rsidR="003B0D9E" w:rsidRPr="003B0D9E" w14:paraId="798783D1" w14:textId="77777777" w:rsidTr="00315BD3">
        <w:trPr>
          <w:trHeight w:val="283"/>
          <w:jc w:val="center"/>
        </w:trPr>
        <w:tc>
          <w:tcPr>
            <w:tcW w:w="2819" w:type="dxa"/>
            <w:tcBorders>
              <w:top w:val="nil"/>
              <w:left w:val="nil"/>
              <w:bottom w:val="nil"/>
              <w:right w:val="single" w:sz="18" w:space="0" w:color="FFFFFF"/>
            </w:tcBorders>
            <w:shd w:val="clear" w:color="auto" w:fill="auto"/>
          </w:tcPr>
          <w:p w14:paraId="21287239" w14:textId="77777777" w:rsidR="003B0D9E" w:rsidRPr="003B0D9E" w:rsidRDefault="003B0D9E" w:rsidP="003B0D9E">
            <w:pPr>
              <w:spacing w:after="0" w:line="276" w:lineRule="auto"/>
              <w:rPr>
                <w:rFonts w:ascii="Times New Roman" w:eastAsia="Calibri" w:hAnsi="Times New Roman" w:cs="Times New Roman"/>
                <w:sz w:val="18"/>
                <w:szCs w:val="20"/>
              </w:rPr>
            </w:pPr>
            <w:r w:rsidRPr="003B0D9E">
              <w:rPr>
                <w:rFonts w:ascii="Times New Roman" w:eastAsia="Calibri" w:hAnsi="Times New Roman" w:cs="Times New Roman"/>
                <w:sz w:val="18"/>
                <w:szCs w:val="20"/>
              </w:rPr>
              <w:t>Toma trgovina d.o.o.</w:t>
            </w:r>
          </w:p>
        </w:tc>
        <w:tc>
          <w:tcPr>
            <w:tcW w:w="2261" w:type="dxa"/>
            <w:tcBorders>
              <w:top w:val="nil"/>
              <w:left w:val="single" w:sz="18" w:space="0" w:color="FFFFFF"/>
              <w:bottom w:val="nil"/>
              <w:right w:val="single" w:sz="18" w:space="0" w:color="FFFFFF"/>
            </w:tcBorders>
            <w:shd w:val="clear" w:color="auto" w:fill="auto"/>
          </w:tcPr>
          <w:p w14:paraId="27B2AAE2"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1.143.251</w:t>
            </w:r>
          </w:p>
        </w:tc>
        <w:tc>
          <w:tcPr>
            <w:tcW w:w="1230" w:type="dxa"/>
            <w:tcBorders>
              <w:top w:val="nil"/>
              <w:left w:val="single" w:sz="18" w:space="0" w:color="FFFFFF"/>
              <w:bottom w:val="nil"/>
              <w:right w:val="single" w:sz="18" w:space="0" w:color="FFFFFF"/>
            </w:tcBorders>
            <w:shd w:val="clear" w:color="auto" w:fill="auto"/>
          </w:tcPr>
          <w:p w14:paraId="0C526018"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1.054.831</w:t>
            </w:r>
          </w:p>
        </w:tc>
        <w:tc>
          <w:tcPr>
            <w:tcW w:w="1889" w:type="dxa"/>
            <w:tcBorders>
              <w:top w:val="nil"/>
              <w:left w:val="single" w:sz="18" w:space="0" w:color="FFFFFF"/>
              <w:bottom w:val="nil"/>
              <w:right w:val="nil"/>
            </w:tcBorders>
            <w:shd w:val="clear" w:color="auto" w:fill="auto"/>
          </w:tcPr>
          <w:p w14:paraId="4F3D30D7"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88.420</w:t>
            </w:r>
          </w:p>
        </w:tc>
      </w:tr>
      <w:tr w:rsidR="003B0D9E" w:rsidRPr="003B0D9E" w14:paraId="3D01D2E8" w14:textId="77777777" w:rsidTr="00315BD3">
        <w:trPr>
          <w:trHeight w:val="283"/>
          <w:jc w:val="center"/>
        </w:trPr>
        <w:tc>
          <w:tcPr>
            <w:tcW w:w="2819" w:type="dxa"/>
            <w:tcBorders>
              <w:top w:val="nil"/>
              <w:left w:val="nil"/>
              <w:bottom w:val="nil"/>
              <w:right w:val="single" w:sz="18" w:space="0" w:color="FFFFFF"/>
            </w:tcBorders>
            <w:shd w:val="clear" w:color="auto" w:fill="auto"/>
          </w:tcPr>
          <w:p w14:paraId="5ED8CF5A" w14:textId="77777777" w:rsidR="003B0D9E" w:rsidRPr="003B0D9E" w:rsidRDefault="003B0D9E" w:rsidP="003B0D9E">
            <w:pPr>
              <w:spacing w:after="0" w:line="276" w:lineRule="auto"/>
              <w:rPr>
                <w:rFonts w:ascii="Times New Roman" w:eastAsia="Calibri" w:hAnsi="Times New Roman" w:cs="Times New Roman"/>
                <w:sz w:val="18"/>
                <w:szCs w:val="20"/>
              </w:rPr>
            </w:pPr>
            <w:r w:rsidRPr="003B0D9E">
              <w:rPr>
                <w:rFonts w:ascii="Times New Roman" w:eastAsia="Calibri" w:hAnsi="Times New Roman" w:cs="Times New Roman"/>
                <w:sz w:val="18"/>
                <w:szCs w:val="20"/>
              </w:rPr>
              <w:t>NET d.o.o.</w:t>
            </w:r>
          </w:p>
        </w:tc>
        <w:tc>
          <w:tcPr>
            <w:tcW w:w="2261" w:type="dxa"/>
            <w:tcBorders>
              <w:top w:val="nil"/>
              <w:left w:val="single" w:sz="18" w:space="0" w:color="FFFFFF"/>
              <w:bottom w:val="nil"/>
              <w:right w:val="single" w:sz="18" w:space="0" w:color="FFFFFF"/>
            </w:tcBorders>
            <w:shd w:val="clear" w:color="auto" w:fill="auto"/>
          </w:tcPr>
          <w:p w14:paraId="3E979539"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1.017.522</w:t>
            </w:r>
          </w:p>
        </w:tc>
        <w:tc>
          <w:tcPr>
            <w:tcW w:w="1230" w:type="dxa"/>
            <w:tcBorders>
              <w:top w:val="nil"/>
              <w:left w:val="single" w:sz="18" w:space="0" w:color="FFFFFF"/>
              <w:bottom w:val="nil"/>
              <w:right w:val="single" w:sz="18" w:space="0" w:color="FFFFFF"/>
            </w:tcBorders>
            <w:shd w:val="clear" w:color="auto" w:fill="auto"/>
          </w:tcPr>
          <w:p w14:paraId="58448A44"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980.155</w:t>
            </w:r>
          </w:p>
        </w:tc>
        <w:tc>
          <w:tcPr>
            <w:tcW w:w="1889" w:type="dxa"/>
            <w:tcBorders>
              <w:top w:val="nil"/>
              <w:left w:val="single" w:sz="18" w:space="0" w:color="FFFFFF"/>
              <w:bottom w:val="nil"/>
              <w:right w:val="nil"/>
            </w:tcBorders>
            <w:shd w:val="clear" w:color="auto" w:fill="auto"/>
          </w:tcPr>
          <w:p w14:paraId="58793562"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37.367</w:t>
            </w:r>
          </w:p>
        </w:tc>
      </w:tr>
      <w:tr w:rsidR="003B0D9E" w:rsidRPr="003B0D9E" w14:paraId="67A3C3EA" w14:textId="77777777" w:rsidTr="00315BD3">
        <w:trPr>
          <w:trHeight w:val="283"/>
          <w:jc w:val="center"/>
        </w:trPr>
        <w:tc>
          <w:tcPr>
            <w:tcW w:w="2819" w:type="dxa"/>
            <w:tcBorders>
              <w:top w:val="nil"/>
              <w:left w:val="nil"/>
              <w:bottom w:val="nil"/>
              <w:right w:val="single" w:sz="18" w:space="0" w:color="FFFFFF"/>
            </w:tcBorders>
            <w:shd w:val="clear" w:color="auto" w:fill="auto"/>
          </w:tcPr>
          <w:p w14:paraId="0A04F41D" w14:textId="77777777" w:rsidR="003B0D9E" w:rsidRPr="003B0D9E" w:rsidRDefault="003B0D9E" w:rsidP="003B0D9E">
            <w:pPr>
              <w:spacing w:after="0" w:line="276" w:lineRule="auto"/>
              <w:rPr>
                <w:rFonts w:ascii="Times New Roman" w:eastAsia="Calibri" w:hAnsi="Times New Roman" w:cs="Times New Roman"/>
                <w:sz w:val="18"/>
                <w:szCs w:val="20"/>
              </w:rPr>
            </w:pPr>
            <w:r w:rsidRPr="003B0D9E">
              <w:rPr>
                <w:rFonts w:ascii="Times New Roman" w:eastAsia="Calibri" w:hAnsi="Times New Roman" w:cs="Times New Roman"/>
                <w:sz w:val="18"/>
                <w:szCs w:val="20"/>
              </w:rPr>
              <w:t>SPM-FLOWER d.o.o.</w:t>
            </w:r>
          </w:p>
        </w:tc>
        <w:tc>
          <w:tcPr>
            <w:tcW w:w="2261" w:type="dxa"/>
            <w:tcBorders>
              <w:top w:val="nil"/>
              <w:left w:val="single" w:sz="18" w:space="0" w:color="FFFFFF"/>
              <w:bottom w:val="nil"/>
              <w:right w:val="single" w:sz="18" w:space="0" w:color="FFFFFF"/>
            </w:tcBorders>
            <w:shd w:val="clear" w:color="auto" w:fill="auto"/>
          </w:tcPr>
          <w:p w14:paraId="7B15AA3D"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522.698</w:t>
            </w:r>
          </w:p>
        </w:tc>
        <w:tc>
          <w:tcPr>
            <w:tcW w:w="1230" w:type="dxa"/>
            <w:tcBorders>
              <w:top w:val="nil"/>
              <w:left w:val="single" w:sz="18" w:space="0" w:color="FFFFFF"/>
              <w:bottom w:val="nil"/>
              <w:right w:val="single" w:sz="18" w:space="0" w:color="FFFFFF"/>
            </w:tcBorders>
            <w:shd w:val="clear" w:color="auto" w:fill="auto"/>
          </w:tcPr>
          <w:p w14:paraId="0930DEB9"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519.053</w:t>
            </w:r>
          </w:p>
        </w:tc>
        <w:tc>
          <w:tcPr>
            <w:tcW w:w="1889" w:type="dxa"/>
            <w:tcBorders>
              <w:top w:val="nil"/>
              <w:left w:val="single" w:sz="18" w:space="0" w:color="FFFFFF"/>
              <w:bottom w:val="nil"/>
              <w:right w:val="nil"/>
            </w:tcBorders>
            <w:shd w:val="clear" w:color="auto" w:fill="auto"/>
          </w:tcPr>
          <w:p w14:paraId="32DD1CB9"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3.645</w:t>
            </w:r>
          </w:p>
        </w:tc>
      </w:tr>
      <w:tr w:rsidR="003B0D9E" w:rsidRPr="003B0D9E" w14:paraId="585FA008" w14:textId="77777777" w:rsidTr="00315BD3">
        <w:trPr>
          <w:trHeight w:val="283"/>
          <w:jc w:val="center"/>
        </w:trPr>
        <w:tc>
          <w:tcPr>
            <w:tcW w:w="2819" w:type="dxa"/>
            <w:tcBorders>
              <w:top w:val="nil"/>
              <w:left w:val="nil"/>
              <w:bottom w:val="nil"/>
              <w:right w:val="single" w:sz="18" w:space="0" w:color="FFFFFF"/>
            </w:tcBorders>
            <w:shd w:val="clear" w:color="auto" w:fill="auto"/>
          </w:tcPr>
          <w:p w14:paraId="109FD8A1" w14:textId="77777777" w:rsidR="003B0D9E" w:rsidRPr="003B0D9E" w:rsidRDefault="003B0D9E" w:rsidP="003B0D9E">
            <w:pPr>
              <w:spacing w:after="0" w:line="276" w:lineRule="auto"/>
              <w:rPr>
                <w:rFonts w:ascii="Times New Roman" w:eastAsia="Calibri" w:hAnsi="Times New Roman" w:cs="Times New Roman"/>
                <w:sz w:val="18"/>
                <w:szCs w:val="20"/>
              </w:rPr>
            </w:pPr>
            <w:r w:rsidRPr="003B0D9E">
              <w:rPr>
                <w:rFonts w:ascii="Times New Roman" w:eastAsia="Calibri" w:hAnsi="Times New Roman" w:cs="Times New Roman"/>
                <w:sz w:val="18"/>
                <w:szCs w:val="20"/>
              </w:rPr>
              <w:t>VITA FLOS d.o.o.</w:t>
            </w:r>
          </w:p>
        </w:tc>
        <w:tc>
          <w:tcPr>
            <w:tcW w:w="2261" w:type="dxa"/>
            <w:tcBorders>
              <w:top w:val="nil"/>
              <w:left w:val="single" w:sz="18" w:space="0" w:color="FFFFFF"/>
              <w:bottom w:val="nil"/>
              <w:right w:val="single" w:sz="18" w:space="0" w:color="FFFFFF"/>
            </w:tcBorders>
            <w:shd w:val="clear" w:color="auto" w:fill="auto"/>
          </w:tcPr>
          <w:p w14:paraId="5F464C30"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615.009</w:t>
            </w:r>
          </w:p>
        </w:tc>
        <w:tc>
          <w:tcPr>
            <w:tcW w:w="1230" w:type="dxa"/>
            <w:tcBorders>
              <w:top w:val="nil"/>
              <w:left w:val="single" w:sz="18" w:space="0" w:color="FFFFFF"/>
              <w:bottom w:val="nil"/>
              <w:right w:val="single" w:sz="18" w:space="0" w:color="FFFFFF"/>
            </w:tcBorders>
            <w:shd w:val="clear" w:color="auto" w:fill="auto"/>
          </w:tcPr>
          <w:p w14:paraId="26E5B404"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453.018</w:t>
            </w:r>
          </w:p>
        </w:tc>
        <w:tc>
          <w:tcPr>
            <w:tcW w:w="1889" w:type="dxa"/>
            <w:tcBorders>
              <w:top w:val="nil"/>
              <w:left w:val="single" w:sz="18" w:space="0" w:color="FFFFFF"/>
              <w:bottom w:val="nil"/>
              <w:right w:val="nil"/>
            </w:tcBorders>
            <w:shd w:val="clear" w:color="auto" w:fill="auto"/>
          </w:tcPr>
          <w:p w14:paraId="5537CA7A"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161.991</w:t>
            </w:r>
          </w:p>
        </w:tc>
      </w:tr>
      <w:tr w:rsidR="003B0D9E" w:rsidRPr="003B0D9E" w14:paraId="444EA428" w14:textId="77777777" w:rsidTr="00315BD3">
        <w:trPr>
          <w:trHeight w:val="283"/>
          <w:jc w:val="center"/>
        </w:trPr>
        <w:tc>
          <w:tcPr>
            <w:tcW w:w="2819" w:type="dxa"/>
            <w:tcBorders>
              <w:top w:val="nil"/>
              <w:left w:val="nil"/>
              <w:bottom w:val="nil"/>
              <w:right w:val="single" w:sz="18" w:space="0" w:color="FFFFFF"/>
            </w:tcBorders>
            <w:shd w:val="clear" w:color="auto" w:fill="auto"/>
          </w:tcPr>
          <w:p w14:paraId="678B3A74" w14:textId="77777777" w:rsidR="003B0D9E" w:rsidRPr="003B0D9E" w:rsidRDefault="003B0D9E" w:rsidP="003B0D9E">
            <w:pPr>
              <w:spacing w:after="0" w:line="276" w:lineRule="auto"/>
              <w:rPr>
                <w:rFonts w:ascii="Times New Roman" w:eastAsia="Calibri" w:hAnsi="Times New Roman" w:cs="Times New Roman"/>
                <w:sz w:val="18"/>
                <w:szCs w:val="20"/>
              </w:rPr>
            </w:pPr>
            <w:r w:rsidRPr="003B0D9E">
              <w:rPr>
                <w:rFonts w:ascii="Times New Roman" w:eastAsia="Calibri" w:hAnsi="Times New Roman" w:cs="Times New Roman"/>
                <w:sz w:val="18"/>
                <w:szCs w:val="20"/>
              </w:rPr>
              <w:t>ŠPREM AMARENA d.o.o.</w:t>
            </w:r>
          </w:p>
        </w:tc>
        <w:tc>
          <w:tcPr>
            <w:tcW w:w="2261" w:type="dxa"/>
            <w:tcBorders>
              <w:top w:val="nil"/>
              <w:left w:val="single" w:sz="18" w:space="0" w:color="FFFFFF"/>
              <w:bottom w:val="nil"/>
              <w:right w:val="single" w:sz="18" w:space="0" w:color="FFFFFF"/>
            </w:tcBorders>
            <w:shd w:val="clear" w:color="auto" w:fill="auto"/>
          </w:tcPr>
          <w:p w14:paraId="634E7564"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851.165</w:t>
            </w:r>
          </w:p>
        </w:tc>
        <w:tc>
          <w:tcPr>
            <w:tcW w:w="1230" w:type="dxa"/>
            <w:tcBorders>
              <w:top w:val="nil"/>
              <w:left w:val="single" w:sz="18" w:space="0" w:color="FFFFFF"/>
              <w:bottom w:val="nil"/>
              <w:right w:val="single" w:sz="18" w:space="0" w:color="FFFFFF"/>
            </w:tcBorders>
            <w:shd w:val="clear" w:color="auto" w:fill="auto"/>
          </w:tcPr>
          <w:p w14:paraId="53FA63D4"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851.165</w:t>
            </w:r>
          </w:p>
        </w:tc>
        <w:tc>
          <w:tcPr>
            <w:tcW w:w="1889" w:type="dxa"/>
            <w:tcBorders>
              <w:top w:val="nil"/>
              <w:left w:val="single" w:sz="18" w:space="0" w:color="FFFFFF"/>
              <w:bottom w:val="nil"/>
              <w:right w:val="nil"/>
            </w:tcBorders>
            <w:shd w:val="clear" w:color="auto" w:fill="auto"/>
          </w:tcPr>
          <w:p w14:paraId="47D4A870"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0</w:t>
            </w:r>
          </w:p>
        </w:tc>
      </w:tr>
      <w:tr w:rsidR="003B0D9E" w:rsidRPr="003B0D9E" w14:paraId="0438C0F1" w14:textId="77777777" w:rsidTr="00315BD3">
        <w:trPr>
          <w:trHeight w:val="283"/>
          <w:jc w:val="center"/>
        </w:trPr>
        <w:tc>
          <w:tcPr>
            <w:tcW w:w="2819" w:type="dxa"/>
            <w:tcBorders>
              <w:top w:val="nil"/>
              <w:left w:val="nil"/>
              <w:bottom w:val="nil"/>
              <w:right w:val="single" w:sz="18" w:space="0" w:color="FFFFFF"/>
            </w:tcBorders>
            <w:shd w:val="clear" w:color="auto" w:fill="auto"/>
          </w:tcPr>
          <w:p w14:paraId="17FC79B6" w14:textId="77777777" w:rsidR="003B0D9E" w:rsidRPr="003B0D9E" w:rsidRDefault="003B0D9E" w:rsidP="003B0D9E">
            <w:pPr>
              <w:spacing w:after="0" w:line="276" w:lineRule="auto"/>
              <w:rPr>
                <w:rFonts w:ascii="Times New Roman" w:eastAsia="Calibri" w:hAnsi="Times New Roman" w:cs="Times New Roman"/>
                <w:sz w:val="18"/>
                <w:szCs w:val="20"/>
              </w:rPr>
            </w:pPr>
            <w:r w:rsidRPr="003B0D9E">
              <w:rPr>
                <w:rFonts w:ascii="Times New Roman" w:eastAsia="Calibri" w:hAnsi="Times New Roman" w:cs="Times New Roman"/>
                <w:sz w:val="18"/>
                <w:szCs w:val="20"/>
              </w:rPr>
              <w:t>REPRO d.o.o.</w:t>
            </w:r>
          </w:p>
        </w:tc>
        <w:tc>
          <w:tcPr>
            <w:tcW w:w="2261" w:type="dxa"/>
            <w:tcBorders>
              <w:top w:val="nil"/>
              <w:left w:val="single" w:sz="18" w:space="0" w:color="FFFFFF"/>
              <w:bottom w:val="nil"/>
              <w:right w:val="single" w:sz="18" w:space="0" w:color="FFFFFF"/>
            </w:tcBorders>
            <w:shd w:val="clear" w:color="auto" w:fill="auto"/>
          </w:tcPr>
          <w:p w14:paraId="4BD5F32A"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285.989</w:t>
            </w:r>
          </w:p>
        </w:tc>
        <w:tc>
          <w:tcPr>
            <w:tcW w:w="1230" w:type="dxa"/>
            <w:tcBorders>
              <w:top w:val="nil"/>
              <w:left w:val="single" w:sz="18" w:space="0" w:color="FFFFFF"/>
              <w:bottom w:val="nil"/>
              <w:right w:val="single" w:sz="18" w:space="0" w:color="FFFFFF"/>
            </w:tcBorders>
            <w:shd w:val="clear" w:color="auto" w:fill="auto"/>
          </w:tcPr>
          <w:p w14:paraId="69DE6700"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272.931</w:t>
            </w:r>
          </w:p>
        </w:tc>
        <w:tc>
          <w:tcPr>
            <w:tcW w:w="1889" w:type="dxa"/>
            <w:tcBorders>
              <w:top w:val="nil"/>
              <w:left w:val="single" w:sz="18" w:space="0" w:color="FFFFFF"/>
              <w:bottom w:val="nil"/>
              <w:right w:val="nil"/>
            </w:tcBorders>
            <w:shd w:val="clear" w:color="auto" w:fill="auto"/>
          </w:tcPr>
          <w:p w14:paraId="1422558D"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13.058</w:t>
            </w:r>
          </w:p>
        </w:tc>
      </w:tr>
      <w:tr w:rsidR="003B0D9E" w:rsidRPr="003B0D9E" w14:paraId="49E0D3AF" w14:textId="77777777" w:rsidTr="00315BD3">
        <w:trPr>
          <w:trHeight w:val="283"/>
          <w:jc w:val="center"/>
        </w:trPr>
        <w:tc>
          <w:tcPr>
            <w:tcW w:w="2819" w:type="dxa"/>
            <w:tcBorders>
              <w:top w:val="nil"/>
              <w:left w:val="nil"/>
              <w:bottom w:val="nil"/>
              <w:right w:val="single" w:sz="18" w:space="0" w:color="FFFFFF"/>
            </w:tcBorders>
            <w:shd w:val="clear" w:color="auto" w:fill="F2F2F2"/>
          </w:tcPr>
          <w:p w14:paraId="104E924E" w14:textId="77777777" w:rsidR="003B0D9E" w:rsidRPr="003B0D9E" w:rsidRDefault="003B0D9E" w:rsidP="003B0D9E">
            <w:pPr>
              <w:spacing w:after="0" w:line="276" w:lineRule="auto"/>
              <w:rPr>
                <w:rFonts w:ascii="Times New Roman" w:eastAsia="Calibri" w:hAnsi="Times New Roman" w:cs="Times New Roman"/>
                <w:sz w:val="18"/>
                <w:szCs w:val="20"/>
              </w:rPr>
            </w:pPr>
            <w:r w:rsidRPr="003B0D9E">
              <w:rPr>
                <w:rFonts w:ascii="Times New Roman" w:eastAsia="Calibri" w:hAnsi="Times New Roman" w:cs="Times New Roman"/>
                <w:sz w:val="18"/>
                <w:szCs w:val="20"/>
              </w:rPr>
              <w:t>Ostali</w:t>
            </w:r>
          </w:p>
        </w:tc>
        <w:tc>
          <w:tcPr>
            <w:tcW w:w="2261" w:type="dxa"/>
            <w:tcBorders>
              <w:top w:val="nil"/>
              <w:left w:val="single" w:sz="18" w:space="0" w:color="FFFFFF"/>
              <w:bottom w:val="nil"/>
              <w:right w:val="single" w:sz="18" w:space="0" w:color="FFFFFF"/>
            </w:tcBorders>
            <w:shd w:val="clear" w:color="auto" w:fill="F2F2F2"/>
          </w:tcPr>
          <w:p w14:paraId="314F6904"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3.307.357</w:t>
            </w:r>
          </w:p>
        </w:tc>
        <w:tc>
          <w:tcPr>
            <w:tcW w:w="1230" w:type="dxa"/>
            <w:tcBorders>
              <w:top w:val="nil"/>
              <w:left w:val="single" w:sz="18" w:space="0" w:color="FFFFFF"/>
              <w:bottom w:val="nil"/>
              <w:right w:val="single" w:sz="18" w:space="0" w:color="FFFFFF"/>
            </w:tcBorders>
            <w:shd w:val="clear" w:color="auto" w:fill="F2F2F2"/>
          </w:tcPr>
          <w:p w14:paraId="4E7C9E83"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3.081.647</w:t>
            </w:r>
          </w:p>
        </w:tc>
        <w:tc>
          <w:tcPr>
            <w:tcW w:w="1889" w:type="dxa"/>
            <w:tcBorders>
              <w:top w:val="nil"/>
              <w:left w:val="single" w:sz="18" w:space="0" w:color="FFFFFF"/>
              <w:bottom w:val="nil"/>
              <w:right w:val="nil"/>
            </w:tcBorders>
            <w:shd w:val="clear" w:color="auto" w:fill="F2F2F2"/>
          </w:tcPr>
          <w:p w14:paraId="1DD9DC30" w14:textId="77777777" w:rsidR="003B0D9E" w:rsidRPr="003B0D9E" w:rsidRDefault="003B0D9E" w:rsidP="003B0D9E">
            <w:pPr>
              <w:spacing w:after="0" w:line="276" w:lineRule="auto"/>
              <w:jc w:val="center"/>
              <w:rPr>
                <w:rFonts w:ascii="Times New Roman" w:eastAsia="Calibri" w:hAnsi="Times New Roman" w:cs="Times New Roman"/>
                <w:sz w:val="18"/>
                <w:szCs w:val="20"/>
              </w:rPr>
            </w:pPr>
            <w:r w:rsidRPr="003B0D9E">
              <w:rPr>
                <w:rFonts w:ascii="Times New Roman" w:eastAsia="Calibri" w:hAnsi="Times New Roman" w:cs="Times New Roman"/>
                <w:sz w:val="18"/>
                <w:szCs w:val="20"/>
              </w:rPr>
              <w:t>225.710</w:t>
            </w:r>
          </w:p>
        </w:tc>
      </w:tr>
      <w:tr w:rsidR="003B0D9E" w:rsidRPr="003B0D9E" w14:paraId="3BBCE12D" w14:textId="77777777" w:rsidTr="00315BD3">
        <w:trPr>
          <w:trHeight w:val="283"/>
          <w:jc w:val="center"/>
        </w:trPr>
        <w:tc>
          <w:tcPr>
            <w:tcW w:w="2819" w:type="dxa"/>
            <w:tcBorders>
              <w:top w:val="nil"/>
              <w:left w:val="nil"/>
              <w:bottom w:val="nil"/>
              <w:right w:val="single" w:sz="18" w:space="0" w:color="FFFFFF"/>
            </w:tcBorders>
            <w:shd w:val="clear" w:color="auto" w:fill="D9D9D9"/>
          </w:tcPr>
          <w:p w14:paraId="5125CDE5" w14:textId="77777777" w:rsidR="003B0D9E" w:rsidRPr="003B0D9E" w:rsidRDefault="003B0D9E" w:rsidP="003B0D9E">
            <w:pPr>
              <w:spacing w:after="0" w:line="276" w:lineRule="auto"/>
              <w:rPr>
                <w:rFonts w:ascii="Times New Roman" w:eastAsia="Calibri" w:hAnsi="Times New Roman" w:cs="Times New Roman"/>
                <w:b/>
                <w:sz w:val="18"/>
                <w:szCs w:val="20"/>
              </w:rPr>
            </w:pPr>
            <w:r w:rsidRPr="003B0D9E">
              <w:rPr>
                <w:rFonts w:ascii="Times New Roman" w:eastAsia="Calibri" w:hAnsi="Times New Roman" w:cs="Times New Roman"/>
                <w:b/>
                <w:sz w:val="18"/>
                <w:szCs w:val="20"/>
              </w:rPr>
              <w:t>UKUPNO / KN</w:t>
            </w:r>
          </w:p>
        </w:tc>
        <w:tc>
          <w:tcPr>
            <w:tcW w:w="2261" w:type="dxa"/>
            <w:tcBorders>
              <w:top w:val="nil"/>
              <w:left w:val="single" w:sz="18" w:space="0" w:color="FFFFFF"/>
              <w:bottom w:val="nil"/>
              <w:right w:val="single" w:sz="18" w:space="0" w:color="FFFFFF"/>
            </w:tcBorders>
            <w:shd w:val="clear" w:color="auto" w:fill="D9D9D9"/>
          </w:tcPr>
          <w:p w14:paraId="3258A48E" w14:textId="77777777" w:rsidR="003B0D9E" w:rsidRPr="003B0D9E" w:rsidRDefault="003B0D9E" w:rsidP="003B0D9E">
            <w:pPr>
              <w:spacing w:after="0" w:line="276" w:lineRule="auto"/>
              <w:jc w:val="center"/>
              <w:rPr>
                <w:rFonts w:ascii="Times New Roman" w:eastAsia="Calibri" w:hAnsi="Times New Roman" w:cs="Times New Roman"/>
                <w:b/>
                <w:sz w:val="18"/>
                <w:szCs w:val="20"/>
              </w:rPr>
            </w:pPr>
            <w:r w:rsidRPr="003B0D9E">
              <w:rPr>
                <w:rFonts w:ascii="Times New Roman" w:eastAsia="Calibri" w:hAnsi="Times New Roman" w:cs="Times New Roman"/>
                <w:b/>
                <w:sz w:val="18"/>
                <w:szCs w:val="20"/>
              </w:rPr>
              <w:t>8.716.224</w:t>
            </w:r>
          </w:p>
        </w:tc>
        <w:tc>
          <w:tcPr>
            <w:tcW w:w="1230" w:type="dxa"/>
            <w:tcBorders>
              <w:top w:val="nil"/>
              <w:left w:val="single" w:sz="18" w:space="0" w:color="FFFFFF"/>
              <w:bottom w:val="nil"/>
              <w:right w:val="single" w:sz="18" w:space="0" w:color="FFFFFF"/>
            </w:tcBorders>
            <w:shd w:val="clear" w:color="auto" w:fill="D9D9D9"/>
          </w:tcPr>
          <w:p w14:paraId="0DADB7AD" w14:textId="77777777" w:rsidR="003B0D9E" w:rsidRPr="003B0D9E" w:rsidRDefault="003B0D9E" w:rsidP="003B0D9E">
            <w:pPr>
              <w:spacing w:after="0" w:line="276" w:lineRule="auto"/>
              <w:jc w:val="center"/>
              <w:rPr>
                <w:rFonts w:ascii="Times New Roman" w:eastAsia="Calibri" w:hAnsi="Times New Roman" w:cs="Times New Roman"/>
                <w:b/>
                <w:sz w:val="18"/>
                <w:szCs w:val="20"/>
              </w:rPr>
            </w:pPr>
            <w:r w:rsidRPr="003B0D9E">
              <w:rPr>
                <w:rFonts w:ascii="Times New Roman" w:eastAsia="Calibri" w:hAnsi="Times New Roman" w:cs="Times New Roman"/>
                <w:b/>
                <w:sz w:val="18"/>
                <w:szCs w:val="20"/>
              </w:rPr>
              <w:t>8.126.094</w:t>
            </w:r>
          </w:p>
        </w:tc>
        <w:tc>
          <w:tcPr>
            <w:tcW w:w="1889" w:type="dxa"/>
            <w:tcBorders>
              <w:top w:val="nil"/>
              <w:left w:val="single" w:sz="18" w:space="0" w:color="FFFFFF"/>
              <w:bottom w:val="nil"/>
              <w:right w:val="nil"/>
            </w:tcBorders>
            <w:shd w:val="clear" w:color="auto" w:fill="D9D9D9"/>
          </w:tcPr>
          <w:p w14:paraId="5C6C2463" w14:textId="77777777" w:rsidR="003B0D9E" w:rsidRPr="003B0D9E" w:rsidRDefault="003B0D9E" w:rsidP="003B0D9E">
            <w:pPr>
              <w:spacing w:after="0" w:line="276" w:lineRule="auto"/>
              <w:jc w:val="center"/>
              <w:rPr>
                <w:rFonts w:ascii="Times New Roman" w:eastAsia="Calibri" w:hAnsi="Times New Roman" w:cs="Times New Roman"/>
                <w:b/>
                <w:sz w:val="18"/>
                <w:szCs w:val="20"/>
              </w:rPr>
            </w:pPr>
            <w:r w:rsidRPr="003B0D9E">
              <w:rPr>
                <w:rFonts w:ascii="Times New Roman" w:eastAsia="Calibri" w:hAnsi="Times New Roman" w:cs="Times New Roman"/>
                <w:b/>
                <w:sz w:val="18"/>
                <w:szCs w:val="20"/>
              </w:rPr>
              <w:t>590.130</w:t>
            </w:r>
          </w:p>
        </w:tc>
      </w:tr>
    </w:tbl>
    <w:p w14:paraId="581754D0" w14:textId="77777777" w:rsidR="003B0D9E" w:rsidRPr="003B0D9E" w:rsidRDefault="003B0D9E" w:rsidP="003B0D9E">
      <w:pPr>
        <w:spacing w:after="0" w:line="276" w:lineRule="auto"/>
        <w:contextualSpacing/>
        <w:jc w:val="both"/>
        <w:rPr>
          <w:rFonts w:ascii="Times New Roman" w:eastAsia="Calibri" w:hAnsi="Times New Roman" w:cs="Times New Roman"/>
        </w:rPr>
      </w:pPr>
    </w:p>
    <w:p w14:paraId="121D84C2" w14:textId="77777777" w:rsidR="003B0D9E" w:rsidRPr="003B0D9E" w:rsidRDefault="003B0D9E" w:rsidP="003B0D9E">
      <w:pPr>
        <w:spacing w:after="0" w:line="276" w:lineRule="auto"/>
        <w:contextualSpacing/>
        <w:jc w:val="center"/>
        <w:rPr>
          <w:rFonts w:ascii="Times New Roman" w:eastAsia="Calibri" w:hAnsi="Times New Roman" w:cs="Times New Roman"/>
          <w:bCs/>
          <w:i/>
          <w:color w:val="FF0000"/>
        </w:rPr>
      </w:pPr>
    </w:p>
    <w:p w14:paraId="117ACE1C" w14:textId="11D8F96C" w:rsidR="003B0D9E" w:rsidRPr="003B0D9E" w:rsidRDefault="003B0D9E" w:rsidP="003B0D9E">
      <w:pPr>
        <w:spacing w:after="0" w:line="276" w:lineRule="auto"/>
        <w:contextualSpacing/>
        <w:jc w:val="both"/>
        <w:rPr>
          <w:rFonts w:ascii="Times New Roman" w:eastAsia="Calibri" w:hAnsi="Times New Roman" w:cs="Times New Roman"/>
        </w:rPr>
      </w:pPr>
      <w:r w:rsidRPr="003B0D9E">
        <w:rPr>
          <w:rFonts w:ascii="Times New Roman" w:eastAsia="Calibri" w:hAnsi="Times New Roman" w:cs="Times New Roman"/>
        </w:rPr>
        <w:t xml:space="preserve">Obveze za poreze, doprinose i druga javna davanja  na 31.12.2022. godine su iznosile </w:t>
      </w:r>
      <w:r w:rsidR="00840BCC" w:rsidRPr="008675AD">
        <w:rPr>
          <w:rFonts w:ascii="Times New Roman" w:eastAsia="Calibri" w:hAnsi="Times New Roman" w:cs="Times New Roman"/>
        </w:rPr>
        <w:t>316.914</w:t>
      </w:r>
      <w:r w:rsidRPr="003B0D9E">
        <w:rPr>
          <w:rFonts w:ascii="Times New Roman" w:eastAsia="Calibri" w:hAnsi="Times New Roman" w:cs="Times New Roman"/>
        </w:rPr>
        <w:t xml:space="preserve"> kn te kao takve bilježe povećanje za 8% u odnosu na 2021. godinu. Iste se odnose na obveze za PDV 141.611 kn i obveze za poreze i doprinose iz i na plaću radnika za 12/2022 u iznosu od 175.303 kn. </w:t>
      </w:r>
    </w:p>
    <w:p w14:paraId="02027D34" w14:textId="77777777" w:rsidR="00763305" w:rsidRPr="008675AD" w:rsidRDefault="00763305" w:rsidP="00131D13">
      <w:pPr>
        <w:widowControl w:val="0"/>
        <w:spacing w:after="0" w:line="280" w:lineRule="exact"/>
        <w:jc w:val="both"/>
        <w:rPr>
          <w:rFonts w:ascii="Times New Roman" w:eastAsia="Times New Roman" w:hAnsi="Times New Roman" w:cs="Times New Roman"/>
          <w:b/>
        </w:rPr>
      </w:pPr>
    </w:p>
    <w:p w14:paraId="3489E02D" w14:textId="77777777" w:rsidR="00763305" w:rsidRPr="008675AD" w:rsidRDefault="00763305" w:rsidP="00131D13">
      <w:pPr>
        <w:spacing w:after="0" w:line="276" w:lineRule="auto"/>
        <w:contextualSpacing/>
        <w:jc w:val="both"/>
        <w:rPr>
          <w:rFonts w:ascii="Times New Roman" w:eastAsia="Calibri" w:hAnsi="Times New Roman" w:cs="Times New Roman"/>
          <w:b/>
        </w:rPr>
      </w:pPr>
    </w:p>
    <w:p w14:paraId="316107D6" w14:textId="77777777" w:rsidR="00131D13" w:rsidRPr="008675AD" w:rsidRDefault="00131D13" w:rsidP="00131D13">
      <w:pPr>
        <w:spacing w:after="0" w:line="276" w:lineRule="auto"/>
        <w:contextualSpacing/>
        <w:jc w:val="both"/>
        <w:rPr>
          <w:rFonts w:ascii="Times New Roman" w:eastAsia="Calibri" w:hAnsi="Times New Roman" w:cs="Times New Roman"/>
          <w:b/>
        </w:rPr>
      </w:pPr>
      <w:r w:rsidRPr="008675AD">
        <w:rPr>
          <w:rFonts w:ascii="Times New Roman" w:eastAsia="Calibri" w:hAnsi="Times New Roman" w:cs="Times New Roman"/>
          <w:b/>
        </w:rPr>
        <w:t>Bilješka 12. Odgođeno plaćanje troškova i prihoda budućeg razdoblja</w:t>
      </w:r>
    </w:p>
    <w:p w14:paraId="02B5B8C9" w14:textId="77777777" w:rsidR="003E28E9" w:rsidRPr="008675AD" w:rsidRDefault="003E28E9" w:rsidP="00F42FCB">
      <w:pPr>
        <w:spacing w:after="0" w:line="276" w:lineRule="auto"/>
        <w:jc w:val="both"/>
        <w:rPr>
          <w:rFonts w:ascii="Times New Roman" w:eastAsia="Calibri" w:hAnsi="Times New Roman" w:cs="Times New Roman"/>
        </w:rPr>
      </w:pPr>
    </w:p>
    <w:p w14:paraId="18287A47" w14:textId="5C3082DE" w:rsidR="00840BCC" w:rsidRPr="00840BCC" w:rsidRDefault="00840BCC" w:rsidP="00840BCC">
      <w:pPr>
        <w:spacing w:after="0" w:line="276" w:lineRule="auto"/>
        <w:jc w:val="both"/>
        <w:rPr>
          <w:rFonts w:ascii="Times New Roman" w:eastAsia="Calibri" w:hAnsi="Times New Roman" w:cs="Times New Roman"/>
        </w:rPr>
      </w:pPr>
      <w:r w:rsidRPr="00840BCC">
        <w:rPr>
          <w:rFonts w:ascii="Times New Roman" w:eastAsia="Calibri" w:hAnsi="Times New Roman" w:cs="Times New Roman"/>
        </w:rPr>
        <w:t>U okviru skupine pasivnih vremenskih razgraničenja evidentiran je iznos od 1.409.725 kn, koji se odnosi na saldo dotacije od Grada Pule za financiranje investicije proširenja gradskog groblja u Puli koji se postepeno isključuje s ove pozicije i priznaje u prihode prema obračunu amortizacije na ulaganja u  tuđu imovinu. U 2022. godini bilježimo iznos od 190.29</w:t>
      </w:r>
      <w:r w:rsidR="00BC426C">
        <w:rPr>
          <w:rFonts w:ascii="Times New Roman" w:eastAsia="Calibri" w:hAnsi="Times New Roman" w:cs="Times New Roman"/>
        </w:rPr>
        <w:t>2</w:t>
      </w:r>
      <w:r w:rsidRPr="00840BCC">
        <w:rPr>
          <w:rFonts w:ascii="Times New Roman" w:eastAsia="Calibri" w:hAnsi="Times New Roman" w:cs="Times New Roman"/>
        </w:rPr>
        <w:t xml:space="preserve"> kn evidentirano na poziciji prihoda od potpora. U skupini vremenskih razgraničenja evidentiran je iznos od 85.431 kn obračunatog troška za neiskorišteni godišnji odmor iz 2022. godine, a koji će se koristiti do 30.06.2023. godine.</w:t>
      </w:r>
    </w:p>
    <w:p w14:paraId="63E7B8DA" w14:textId="2FD5FFD3" w:rsidR="00840BCC" w:rsidRPr="008675AD" w:rsidRDefault="008675AD" w:rsidP="008675AD">
      <w:pPr>
        <w:spacing w:after="0" w:line="276" w:lineRule="auto"/>
        <w:jc w:val="right"/>
        <w:rPr>
          <w:rFonts w:ascii="Times New Roman" w:eastAsia="Calibri" w:hAnsi="Times New Roman" w:cs="Times New Roman"/>
          <w:b/>
          <w:noProof/>
          <w:color w:val="FF0000"/>
          <w:kern w:val="3"/>
          <w:lang w:eastAsia="hr-HR"/>
        </w:rPr>
      </w:pPr>
      <w:r w:rsidRPr="008675AD">
        <w:rPr>
          <w:rFonts w:ascii="Times New Roman" w:eastAsia="Calibri" w:hAnsi="Times New Roman" w:cs="Times New Roman"/>
          <w:noProof/>
          <w:kern w:val="3"/>
          <w:lang w:eastAsia="hr-HR"/>
        </w:rPr>
        <w:t>9</w:t>
      </w:r>
      <w:r w:rsidR="00840BCC" w:rsidRPr="00840BCC">
        <w:rPr>
          <w:rFonts w:ascii="Times New Roman" w:eastAsia="Calibri" w:hAnsi="Times New Roman" w:cs="Times New Roman"/>
          <w:b/>
          <w:noProof/>
          <w:color w:val="FF0000"/>
          <w:kern w:val="3"/>
          <w:lang w:eastAsia="hr-HR"/>
        </w:rPr>
        <w:br w:type="page"/>
      </w:r>
    </w:p>
    <w:p w14:paraId="7B6893D1" w14:textId="6179CA24" w:rsidR="00131D13" w:rsidRPr="00C323D2" w:rsidRDefault="00131D13" w:rsidP="00763305">
      <w:pPr>
        <w:widowControl w:val="0"/>
        <w:spacing w:after="0" w:line="280" w:lineRule="exact"/>
        <w:rPr>
          <w:rFonts w:ascii="Times New Roman" w:eastAsia="Times New Roman" w:hAnsi="Times New Roman" w:cs="Times New Roman"/>
        </w:rPr>
      </w:pPr>
      <w:r w:rsidRPr="00C323D2">
        <w:rPr>
          <w:rFonts w:ascii="Times New Roman" w:eastAsia="Times New Roman" w:hAnsi="Times New Roman" w:cs="Times New Roman"/>
        </w:rPr>
        <w:lastRenderedPageBreak/>
        <w:t xml:space="preserve">                                                                                                                                           </w:t>
      </w:r>
    </w:p>
    <w:p w14:paraId="75FBB89A" w14:textId="77777777" w:rsidR="00131D13" w:rsidRPr="00C323D2" w:rsidRDefault="00131D13" w:rsidP="00131D13">
      <w:pPr>
        <w:widowControl w:val="0"/>
        <w:spacing w:after="0" w:line="280" w:lineRule="exact"/>
        <w:jc w:val="both"/>
        <w:rPr>
          <w:rFonts w:ascii="Times New Roman" w:eastAsia="Times New Roman" w:hAnsi="Times New Roman" w:cs="Times New Roman"/>
          <w:b/>
        </w:rPr>
      </w:pPr>
      <w:r w:rsidRPr="00C323D2">
        <w:rPr>
          <w:rFonts w:ascii="Times New Roman" w:eastAsia="Times New Roman" w:hAnsi="Times New Roman" w:cs="Times New Roman"/>
          <w:b/>
        </w:rPr>
        <w:t xml:space="preserve">Bilješka 13. </w:t>
      </w:r>
      <w:proofErr w:type="spellStart"/>
      <w:r w:rsidRPr="00C323D2">
        <w:rPr>
          <w:rFonts w:ascii="Times New Roman" w:eastAsia="Times New Roman" w:hAnsi="Times New Roman" w:cs="Times New Roman"/>
          <w:b/>
        </w:rPr>
        <w:t>Izvanbilančni</w:t>
      </w:r>
      <w:proofErr w:type="spellEnd"/>
      <w:r w:rsidRPr="00C323D2">
        <w:rPr>
          <w:rFonts w:ascii="Times New Roman" w:eastAsia="Times New Roman" w:hAnsi="Times New Roman" w:cs="Times New Roman"/>
          <w:b/>
        </w:rPr>
        <w:t xml:space="preserve"> zapisi</w:t>
      </w:r>
    </w:p>
    <w:p w14:paraId="4B67EF76" w14:textId="77777777" w:rsidR="00DE6F26" w:rsidRPr="00C323D2" w:rsidRDefault="00DE6F26" w:rsidP="00131D13">
      <w:pPr>
        <w:widowControl w:val="0"/>
        <w:spacing w:after="0" w:line="280" w:lineRule="exact"/>
        <w:jc w:val="both"/>
        <w:rPr>
          <w:rFonts w:ascii="Times New Roman" w:eastAsia="Times New Roman" w:hAnsi="Times New Roman" w:cs="Times New Roman"/>
          <w:b/>
        </w:rPr>
      </w:pPr>
    </w:p>
    <w:tbl>
      <w:tblPr>
        <w:tblW w:w="8789" w:type="dxa"/>
        <w:tblInd w:w="108" w:type="dxa"/>
        <w:tblLayout w:type="fixed"/>
        <w:tblLook w:val="0000" w:firstRow="0" w:lastRow="0" w:firstColumn="0" w:lastColumn="0" w:noHBand="0" w:noVBand="0"/>
      </w:tblPr>
      <w:tblGrid>
        <w:gridCol w:w="5387"/>
        <w:gridCol w:w="1701"/>
        <w:gridCol w:w="1701"/>
      </w:tblGrid>
      <w:tr w:rsidR="00DE6F26" w:rsidRPr="00C323D2" w14:paraId="7C7BEE42" w14:textId="77777777" w:rsidTr="00803BE9">
        <w:trPr>
          <w:trHeight w:val="288"/>
        </w:trPr>
        <w:tc>
          <w:tcPr>
            <w:tcW w:w="5387" w:type="dxa"/>
            <w:tcBorders>
              <w:bottom w:val="single" w:sz="4" w:space="0" w:color="auto"/>
            </w:tcBorders>
            <w:vAlign w:val="bottom"/>
          </w:tcPr>
          <w:p w14:paraId="0BF0F72D" w14:textId="2C496185" w:rsidR="00DE6F26" w:rsidRPr="00C323D2" w:rsidRDefault="00DE6F26" w:rsidP="00DE6F26">
            <w:pPr>
              <w:spacing w:after="0" w:line="240" w:lineRule="auto"/>
              <w:rPr>
                <w:rFonts w:ascii="Times New Roman" w:eastAsia="Times New Roman" w:hAnsi="Times New Roman" w:cs="Times New Roman"/>
                <w:b/>
                <w:bCs/>
                <w:lang w:eastAsia="hr-HR"/>
              </w:rPr>
            </w:pPr>
            <w:r w:rsidRPr="00C323D2">
              <w:rPr>
                <w:rFonts w:ascii="Times New Roman" w:eastAsia="Times New Roman" w:hAnsi="Times New Roman" w:cs="Times New Roman"/>
                <w:b/>
                <w:bCs/>
                <w:lang w:eastAsia="hr-HR"/>
              </w:rPr>
              <w:t xml:space="preserve">Naziv </w:t>
            </w:r>
          </w:p>
        </w:tc>
        <w:tc>
          <w:tcPr>
            <w:tcW w:w="1701" w:type="dxa"/>
            <w:tcBorders>
              <w:bottom w:val="single" w:sz="4" w:space="0" w:color="auto"/>
            </w:tcBorders>
          </w:tcPr>
          <w:p w14:paraId="36472F12" w14:textId="0B616E50" w:rsidR="00DE6F26" w:rsidRPr="00C323D2" w:rsidRDefault="00DE6F26" w:rsidP="00840BCC">
            <w:pPr>
              <w:spacing w:after="0" w:line="240" w:lineRule="auto"/>
              <w:jc w:val="right"/>
              <w:rPr>
                <w:rFonts w:ascii="Times New Roman" w:eastAsia="Times New Roman" w:hAnsi="Times New Roman" w:cs="Times New Roman"/>
                <w:b/>
                <w:bCs/>
              </w:rPr>
            </w:pPr>
            <w:r w:rsidRPr="00C323D2">
              <w:rPr>
                <w:rFonts w:ascii="Times New Roman" w:eastAsia="Times New Roman" w:hAnsi="Times New Roman" w:cs="Times New Roman"/>
                <w:b/>
                <w:bCs/>
              </w:rPr>
              <w:t>20</w:t>
            </w:r>
            <w:r w:rsidR="000C27FB" w:rsidRPr="00C323D2">
              <w:rPr>
                <w:rFonts w:ascii="Times New Roman" w:eastAsia="Times New Roman" w:hAnsi="Times New Roman" w:cs="Times New Roman"/>
                <w:b/>
                <w:bCs/>
              </w:rPr>
              <w:t>2</w:t>
            </w:r>
            <w:r w:rsidR="00840BCC">
              <w:rPr>
                <w:rFonts w:ascii="Times New Roman" w:eastAsia="Times New Roman" w:hAnsi="Times New Roman" w:cs="Times New Roman"/>
                <w:b/>
                <w:bCs/>
              </w:rPr>
              <w:t>1</w:t>
            </w:r>
            <w:r w:rsidRPr="00C323D2">
              <w:rPr>
                <w:rFonts w:ascii="Times New Roman" w:eastAsia="Times New Roman" w:hAnsi="Times New Roman" w:cs="Times New Roman"/>
                <w:b/>
                <w:bCs/>
              </w:rPr>
              <w:t>.</w:t>
            </w:r>
          </w:p>
        </w:tc>
        <w:tc>
          <w:tcPr>
            <w:tcW w:w="1701" w:type="dxa"/>
            <w:tcBorders>
              <w:bottom w:val="single" w:sz="4" w:space="0" w:color="auto"/>
            </w:tcBorders>
          </w:tcPr>
          <w:p w14:paraId="63E5A871" w14:textId="0E5FCD59" w:rsidR="00DE6F26" w:rsidRPr="00C323D2" w:rsidRDefault="00DE6F26" w:rsidP="005E6397">
            <w:pPr>
              <w:spacing w:after="0" w:line="240" w:lineRule="auto"/>
              <w:jc w:val="right"/>
              <w:rPr>
                <w:rFonts w:ascii="Times New Roman" w:eastAsia="Times New Roman" w:hAnsi="Times New Roman" w:cs="Times New Roman"/>
                <w:b/>
                <w:bCs/>
              </w:rPr>
            </w:pPr>
            <w:r w:rsidRPr="00C323D2">
              <w:rPr>
                <w:rFonts w:ascii="Times New Roman" w:eastAsia="Times New Roman" w:hAnsi="Times New Roman" w:cs="Times New Roman"/>
                <w:b/>
                <w:bCs/>
              </w:rPr>
              <w:t>202</w:t>
            </w:r>
            <w:r w:rsidR="005E6397">
              <w:rPr>
                <w:rFonts w:ascii="Times New Roman" w:eastAsia="Times New Roman" w:hAnsi="Times New Roman" w:cs="Times New Roman"/>
                <w:b/>
                <w:bCs/>
              </w:rPr>
              <w:t>2</w:t>
            </w:r>
            <w:r w:rsidRPr="00C323D2">
              <w:rPr>
                <w:rFonts w:ascii="Times New Roman" w:eastAsia="Times New Roman" w:hAnsi="Times New Roman" w:cs="Times New Roman"/>
                <w:b/>
                <w:bCs/>
              </w:rPr>
              <w:t>.</w:t>
            </w:r>
          </w:p>
        </w:tc>
      </w:tr>
      <w:tr w:rsidR="00DE6F26" w:rsidRPr="00C323D2" w14:paraId="4B8ADBD0" w14:textId="77777777" w:rsidTr="00803BE9">
        <w:tc>
          <w:tcPr>
            <w:tcW w:w="5387" w:type="dxa"/>
            <w:tcBorders>
              <w:top w:val="single" w:sz="4" w:space="0" w:color="auto"/>
            </w:tcBorders>
            <w:vAlign w:val="bottom"/>
          </w:tcPr>
          <w:p w14:paraId="397059CE" w14:textId="77777777" w:rsidR="00DE6F26" w:rsidRPr="00C323D2" w:rsidRDefault="00DE6F26" w:rsidP="00803BE9">
            <w:pPr>
              <w:spacing w:after="0" w:line="240" w:lineRule="auto"/>
              <w:rPr>
                <w:rFonts w:ascii="Times New Roman" w:eastAsia="Times New Roman" w:hAnsi="Times New Roman" w:cs="Times New Roman"/>
              </w:rPr>
            </w:pPr>
          </w:p>
          <w:p w14:paraId="2632092E" w14:textId="2CFB7839" w:rsidR="00DE6F26" w:rsidRPr="00C323D2" w:rsidRDefault="00DE6F26" w:rsidP="00803BE9">
            <w:pPr>
              <w:spacing w:after="0" w:line="240" w:lineRule="auto"/>
              <w:rPr>
                <w:rFonts w:ascii="Times New Roman" w:eastAsia="Times New Roman" w:hAnsi="Times New Roman" w:cs="Times New Roman"/>
              </w:rPr>
            </w:pPr>
            <w:r w:rsidRPr="00C323D2">
              <w:rPr>
                <w:rFonts w:ascii="Times New Roman" w:eastAsia="Times New Roman" w:hAnsi="Times New Roman" w:cs="Times New Roman"/>
              </w:rPr>
              <w:t xml:space="preserve">Roba u komisiji </w:t>
            </w:r>
          </w:p>
        </w:tc>
        <w:tc>
          <w:tcPr>
            <w:tcW w:w="1701" w:type="dxa"/>
            <w:tcBorders>
              <w:top w:val="single" w:sz="4" w:space="0" w:color="auto"/>
            </w:tcBorders>
            <w:vAlign w:val="bottom"/>
          </w:tcPr>
          <w:p w14:paraId="6896FF47" w14:textId="390626C5" w:rsidR="00DE6F26" w:rsidRPr="00C323D2" w:rsidRDefault="00DE6F26" w:rsidP="00840BCC">
            <w:pPr>
              <w:spacing w:after="0" w:line="240" w:lineRule="auto"/>
              <w:jc w:val="right"/>
              <w:rPr>
                <w:rFonts w:ascii="Times New Roman" w:eastAsia="Times New Roman" w:hAnsi="Times New Roman" w:cs="Times New Roman"/>
              </w:rPr>
            </w:pPr>
            <w:r w:rsidRPr="00C323D2">
              <w:rPr>
                <w:rFonts w:ascii="Times New Roman" w:eastAsia="Times New Roman" w:hAnsi="Times New Roman" w:cs="Times New Roman"/>
              </w:rPr>
              <w:t>1</w:t>
            </w:r>
            <w:r w:rsidR="00840BCC">
              <w:rPr>
                <w:rFonts w:ascii="Times New Roman" w:eastAsia="Times New Roman" w:hAnsi="Times New Roman" w:cs="Times New Roman"/>
              </w:rPr>
              <w:t>1</w:t>
            </w:r>
            <w:r w:rsidR="000C27FB" w:rsidRPr="00C323D2">
              <w:rPr>
                <w:rFonts w:ascii="Times New Roman" w:eastAsia="Times New Roman" w:hAnsi="Times New Roman" w:cs="Times New Roman"/>
              </w:rPr>
              <w:t>.</w:t>
            </w:r>
            <w:r w:rsidR="00840BCC">
              <w:rPr>
                <w:rFonts w:ascii="Times New Roman" w:eastAsia="Times New Roman" w:hAnsi="Times New Roman" w:cs="Times New Roman"/>
              </w:rPr>
              <w:t>948</w:t>
            </w:r>
          </w:p>
        </w:tc>
        <w:tc>
          <w:tcPr>
            <w:tcW w:w="1701" w:type="dxa"/>
            <w:tcBorders>
              <w:top w:val="single" w:sz="4" w:space="0" w:color="auto"/>
            </w:tcBorders>
            <w:vAlign w:val="bottom"/>
          </w:tcPr>
          <w:p w14:paraId="03CC3145" w14:textId="23421FF8" w:rsidR="00DE6F26" w:rsidRPr="00C323D2" w:rsidRDefault="00DE6F26" w:rsidP="005E6397">
            <w:pPr>
              <w:spacing w:after="0" w:line="240" w:lineRule="auto"/>
              <w:jc w:val="right"/>
              <w:rPr>
                <w:rFonts w:ascii="Times New Roman" w:eastAsia="Times New Roman" w:hAnsi="Times New Roman" w:cs="Times New Roman"/>
              </w:rPr>
            </w:pPr>
            <w:r w:rsidRPr="00C323D2">
              <w:rPr>
                <w:rFonts w:ascii="Times New Roman" w:eastAsia="Times New Roman" w:hAnsi="Times New Roman" w:cs="Times New Roman"/>
              </w:rPr>
              <w:t>1</w:t>
            </w:r>
            <w:r w:rsidR="005E6397">
              <w:rPr>
                <w:rFonts w:ascii="Times New Roman" w:eastAsia="Times New Roman" w:hAnsi="Times New Roman" w:cs="Times New Roman"/>
              </w:rPr>
              <w:t>4</w:t>
            </w:r>
            <w:r w:rsidR="000C27FB" w:rsidRPr="00C323D2">
              <w:rPr>
                <w:rFonts w:ascii="Times New Roman" w:eastAsia="Times New Roman" w:hAnsi="Times New Roman" w:cs="Times New Roman"/>
              </w:rPr>
              <w:t>.</w:t>
            </w:r>
            <w:r w:rsidR="005E6397">
              <w:rPr>
                <w:rFonts w:ascii="Times New Roman" w:eastAsia="Times New Roman" w:hAnsi="Times New Roman" w:cs="Times New Roman"/>
              </w:rPr>
              <w:t>627</w:t>
            </w:r>
          </w:p>
        </w:tc>
      </w:tr>
      <w:tr w:rsidR="00DE6F26" w:rsidRPr="00C323D2" w14:paraId="2D6E7A5B" w14:textId="77777777" w:rsidTr="00803BE9">
        <w:tc>
          <w:tcPr>
            <w:tcW w:w="5387" w:type="dxa"/>
            <w:vAlign w:val="bottom"/>
          </w:tcPr>
          <w:p w14:paraId="291F99CC" w14:textId="77777777" w:rsidR="00DE6F26" w:rsidRPr="00C323D2" w:rsidRDefault="00DE6F26" w:rsidP="00803BE9">
            <w:pPr>
              <w:spacing w:after="0" w:line="240" w:lineRule="auto"/>
              <w:rPr>
                <w:rFonts w:ascii="Times New Roman" w:eastAsia="Times New Roman" w:hAnsi="Times New Roman" w:cs="Times New Roman"/>
              </w:rPr>
            </w:pPr>
          </w:p>
          <w:p w14:paraId="3C5BFBC7" w14:textId="0FFFA297" w:rsidR="00DE6F26" w:rsidRPr="00C323D2" w:rsidRDefault="00DE6F26" w:rsidP="00803BE9">
            <w:pPr>
              <w:spacing w:after="0" w:line="240" w:lineRule="auto"/>
              <w:rPr>
                <w:rFonts w:ascii="Times New Roman" w:eastAsia="Times New Roman" w:hAnsi="Times New Roman" w:cs="Times New Roman"/>
              </w:rPr>
            </w:pPr>
            <w:r w:rsidRPr="00C323D2">
              <w:rPr>
                <w:rFonts w:ascii="Times New Roman" w:eastAsia="Times New Roman" w:hAnsi="Times New Roman" w:cs="Times New Roman"/>
              </w:rPr>
              <w:t>Oprema u komisiji</w:t>
            </w:r>
          </w:p>
        </w:tc>
        <w:tc>
          <w:tcPr>
            <w:tcW w:w="1701" w:type="dxa"/>
            <w:vAlign w:val="bottom"/>
          </w:tcPr>
          <w:p w14:paraId="2FD6E4E0" w14:textId="5FEAAB34" w:rsidR="00DE6F26" w:rsidRPr="00C323D2" w:rsidRDefault="00DE6F26" w:rsidP="00803BE9">
            <w:pPr>
              <w:spacing w:after="0" w:line="240" w:lineRule="auto"/>
              <w:jc w:val="right"/>
              <w:rPr>
                <w:rFonts w:ascii="Times New Roman" w:eastAsia="Times New Roman" w:hAnsi="Times New Roman" w:cs="Times New Roman"/>
              </w:rPr>
            </w:pPr>
            <w:r w:rsidRPr="00C323D2">
              <w:rPr>
                <w:rFonts w:ascii="Times New Roman" w:eastAsia="Times New Roman" w:hAnsi="Times New Roman" w:cs="Times New Roman"/>
              </w:rPr>
              <w:t>4.750</w:t>
            </w:r>
          </w:p>
        </w:tc>
        <w:tc>
          <w:tcPr>
            <w:tcW w:w="1701" w:type="dxa"/>
            <w:vAlign w:val="bottom"/>
          </w:tcPr>
          <w:p w14:paraId="62172836" w14:textId="6600396A" w:rsidR="00DE6F26" w:rsidRPr="00C323D2" w:rsidRDefault="00DE6F26" w:rsidP="00803BE9">
            <w:pPr>
              <w:spacing w:after="0" w:line="240" w:lineRule="auto"/>
              <w:jc w:val="right"/>
              <w:rPr>
                <w:rFonts w:ascii="Times New Roman" w:eastAsia="Times New Roman" w:hAnsi="Times New Roman" w:cs="Times New Roman"/>
              </w:rPr>
            </w:pPr>
            <w:r w:rsidRPr="00C323D2">
              <w:rPr>
                <w:rFonts w:ascii="Times New Roman" w:eastAsia="Times New Roman" w:hAnsi="Times New Roman" w:cs="Times New Roman"/>
              </w:rPr>
              <w:t>4.750</w:t>
            </w:r>
          </w:p>
        </w:tc>
      </w:tr>
      <w:tr w:rsidR="00DE6F26" w:rsidRPr="00C323D2" w14:paraId="3897ED7F" w14:textId="77777777" w:rsidTr="00803BE9">
        <w:tc>
          <w:tcPr>
            <w:tcW w:w="5387" w:type="dxa"/>
            <w:vAlign w:val="bottom"/>
          </w:tcPr>
          <w:p w14:paraId="0258CDA1" w14:textId="77777777" w:rsidR="00DE6F26" w:rsidRPr="00C323D2" w:rsidRDefault="00DE6F26" w:rsidP="00803BE9">
            <w:pPr>
              <w:spacing w:after="0" w:line="240" w:lineRule="auto"/>
              <w:rPr>
                <w:rFonts w:ascii="Times New Roman" w:eastAsia="Times New Roman" w:hAnsi="Times New Roman" w:cs="Times New Roman"/>
              </w:rPr>
            </w:pPr>
          </w:p>
          <w:p w14:paraId="23D5416D" w14:textId="4F1E6F93" w:rsidR="00DE6F26" w:rsidRPr="00C323D2" w:rsidRDefault="00DE6F26" w:rsidP="00803BE9">
            <w:pPr>
              <w:spacing w:after="0" w:line="240" w:lineRule="auto"/>
              <w:rPr>
                <w:rFonts w:ascii="Times New Roman" w:eastAsia="Times New Roman" w:hAnsi="Times New Roman" w:cs="Times New Roman"/>
              </w:rPr>
            </w:pPr>
            <w:r w:rsidRPr="00C323D2">
              <w:rPr>
                <w:rFonts w:ascii="Times New Roman" w:eastAsia="Times New Roman" w:hAnsi="Times New Roman" w:cs="Times New Roman"/>
              </w:rPr>
              <w:t>Zemljište – gradsko  groblje Pula</w:t>
            </w:r>
          </w:p>
        </w:tc>
        <w:tc>
          <w:tcPr>
            <w:tcW w:w="1701" w:type="dxa"/>
            <w:vAlign w:val="bottom"/>
          </w:tcPr>
          <w:p w14:paraId="473BC552" w14:textId="0EF11E51" w:rsidR="00DE6F26" w:rsidRPr="00C323D2" w:rsidRDefault="00DE6F26" w:rsidP="00803BE9">
            <w:pPr>
              <w:spacing w:after="0" w:line="240" w:lineRule="auto"/>
              <w:jc w:val="right"/>
              <w:rPr>
                <w:rFonts w:ascii="Times New Roman" w:eastAsia="Times New Roman" w:hAnsi="Times New Roman" w:cs="Times New Roman"/>
              </w:rPr>
            </w:pPr>
            <w:r w:rsidRPr="00C323D2">
              <w:rPr>
                <w:rFonts w:ascii="Times New Roman" w:eastAsia="Times New Roman" w:hAnsi="Times New Roman" w:cs="Times New Roman"/>
              </w:rPr>
              <w:t>5.087.631</w:t>
            </w:r>
          </w:p>
        </w:tc>
        <w:tc>
          <w:tcPr>
            <w:tcW w:w="1701" w:type="dxa"/>
            <w:vAlign w:val="bottom"/>
          </w:tcPr>
          <w:p w14:paraId="5B0DB9A6" w14:textId="6A04886A" w:rsidR="00DE6F26" w:rsidRPr="00C323D2" w:rsidRDefault="00840BCC" w:rsidP="00803BE9">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5.087.631</w:t>
            </w:r>
          </w:p>
        </w:tc>
      </w:tr>
      <w:tr w:rsidR="003812D5" w:rsidRPr="00C323D2" w14:paraId="39EFFF88" w14:textId="77777777" w:rsidTr="00803BE9">
        <w:tc>
          <w:tcPr>
            <w:tcW w:w="5387" w:type="dxa"/>
            <w:vAlign w:val="bottom"/>
          </w:tcPr>
          <w:p w14:paraId="472AC7FE" w14:textId="77777777" w:rsidR="003812D5" w:rsidRPr="00C323D2" w:rsidRDefault="003812D5" w:rsidP="00803BE9">
            <w:pPr>
              <w:spacing w:after="0" w:line="240" w:lineRule="auto"/>
              <w:rPr>
                <w:rFonts w:ascii="Times New Roman" w:eastAsia="Times New Roman" w:hAnsi="Times New Roman" w:cs="Times New Roman"/>
              </w:rPr>
            </w:pPr>
          </w:p>
          <w:p w14:paraId="2A031D31" w14:textId="4184686A" w:rsidR="003812D5" w:rsidRPr="00C323D2" w:rsidRDefault="003812D5" w:rsidP="00803BE9">
            <w:pPr>
              <w:spacing w:after="0" w:line="240" w:lineRule="auto"/>
              <w:rPr>
                <w:rFonts w:ascii="Times New Roman" w:eastAsia="Times New Roman" w:hAnsi="Times New Roman" w:cs="Times New Roman"/>
              </w:rPr>
            </w:pPr>
            <w:r w:rsidRPr="00C323D2">
              <w:rPr>
                <w:rFonts w:ascii="Times New Roman" w:eastAsia="Times New Roman" w:hAnsi="Times New Roman" w:cs="Times New Roman"/>
              </w:rPr>
              <w:t xml:space="preserve">Zemljište – groblje </w:t>
            </w:r>
            <w:proofErr w:type="spellStart"/>
            <w:r w:rsidRPr="00C323D2">
              <w:rPr>
                <w:rFonts w:ascii="Times New Roman" w:eastAsia="Times New Roman" w:hAnsi="Times New Roman" w:cs="Times New Roman"/>
              </w:rPr>
              <w:t>Štinjan</w:t>
            </w:r>
            <w:proofErr w:type="spellEnd"/>
          </w:p>
        </w:tc>
        <w:tc>
          <w:tcPr>
            <w:tcW w:w="1701" w:type="dxa"/>
            <w:vAlign w:val="bottom"/>
          </w:tcPr>
          <w:p w14:paraId="548399D2" w14:textId="0FA68B9E" w:rsidR="003812D5" w:rsidRPr="00C323D2" w:rsidRDefault="003812D5" w:rsidP="00803BE9">
            <w:pPr>
              <w:spacing w:after="0" w:line="240" w:lineRule="auto"/>
              <w:jc w:val="right"/>
              <w:rPr>
                <w:rFonts w:ascii="Times New Roman" w:eastAsia="Times New Roman" w:hAnsi="Times New Roman" w:cs="Times New Roman"/>
              </w:rPr>
            </w:pPr>
            <w:r w:rsidRPr="00C323D2">
              <w:rPr>
                <w:rFonts w:ascii="Times New Roman" w:eastAsia="Times New Roman" w:hAnsi="Times New Roman" w:cs="Times New Roman"/>
              </w:rPr>
              <w:t>639.054</w:t>
            </w:r>
          </w:p>
        </w:tc>
        <w:tc>
          <w:tcPr>
            <w:tcW w:w="1701" w:type="dxa"/>
            <w:vAlign w:val="bottom"/>
          </w:tcPr>
          <w:p w14:paraId="57B0EFE5" w14:textId="0346EF77" w:rsidR="003812D5" w:rsidRPr="00C323D2" w:rsidRDefault="003812D5" w:rsidP="00803BE9">
            <w:pPr>
              <w:spacing w:after="0" w:line="240" w:lineRule="auto"/>
              <w:jc w:val="right"/>
              <w:rPr>
                <w:rFonts w:ascii="Times New Roman" w:eastAsia="Times New Roman" w:hAnsi="Times New Roman" w:cs="Times New Roman"/>
              </w:rPr>
            </w:pPr>
            <w:r w:rsidRPr="00C323D2">
              <w:rPr>
                <w:rFonts w:ascii="Times New Roman" w:eastAsia="Times New Roman" w:hAnsi="Times New Roman" w:cs="Times New Roman"/>
              </w:rPr>
              <w:t>639.054</w:t>
            </w:r>
          </w:p>
        </w:tc>
      </w:tr>
      <w:tr w:rsidR="003812D5" w:rsidRPr="00C323D2" w14:paraId="1A0244DA" w14:textId="77777777" w:rsidTr="00803BE9">
        <w:tc>
          <w:tcPr>
            <w:tcW w:w="5387" w:type="dxa"/>
            <w:vAlign w:val="bottom"/>
          </w:tcPr>
          <w:p w14:paraId="641822EE" w14:textId="77777777" w:rsidR="003812D5" w:rsidRPr="00C323D2" w:rsidRDefault="003812D5" w:rsidP="00803BE9">
            <w:pPr>
              <w:spacing w:after="0" w:line="240" w:lineRule="auto"/>
              <w:rPr>
                <w:rFonts w:ascii="Times New Roman" w:eastAsia="Times New Roman" w:hAnsi="Times New Roman" w:cs="Times New Roman"/>
              </w:rPr>
            </w:pPr>
          </w:p>
          <w:p w14:paraId="2365A99F" w14:textId="0342AE1C" w:rsidR="003812D5" w:rsidRPr="00C323D2" w:rsidRDefault="003812D5" w:rsidP="003812D5">
            <w:pPr>
              <w:spacing w:after="0" w:line="240" w:lineRule="auto"/>
              <w:rPr>
                <w:rFonts w:ascii="Times New Roman" w:eastAsia="Times New Roman" w:hAnsi="Times New Roman" w:cs="Times New Roman"/>
              </w:rPr>
            </w:pPr>
            <w:r w:rsidRPr="00C323D2">
              <w:rPr>
                <w:rFonts w:ascii="Times New Roman" w:eastAsia="Times New Roman" w:hAnsi="Times New Roman" w:cs="Times New Roman"/>
              </w:rPr>
              <w:t>Građevine na gradskom groblju u Puli</w:t>
            </w:r>
          </w:p>
        </w:tc>
        <w:tc>
          <w:tcPr>
            <w:tcW w:w="1701" w:type="dxa"/>
            <w:vAlign w:val="bottom"/>
          </w:tcPr>
          <w:p w14:paraId="0E291082" w14:textId="301E23F7" w:rsidR="003812D5" w:rsidRPr="00C323D2" w:rsidRDefault="003812D5" w:rsidP="00803BE9">
            <w:pPr>
              <w:spacing w:after="0" w:line="240" w:lineRule="auto"/>
              <w:jc w:val="right"/>
              <w:rPr>
                <w:rFonts w:ascii="Times New Roman" w:eastAsia="Times New Roman" w:hAnsi="Times New Roman" w:cs="Times New Roman"/>
              </w:rPr>
            </w:pPr>
            <w:r w:rsidRPr="00C323D2">
              <w:rPr>
                <w:rFonts w:ascii="Times New Roman" w:eastAsia="Times New Roman" w:hAnsi="Times New Roman" w:cs="Times New Roman"/>
              </w:rPr>
              <w:t>1.026.547</w:t>
            </w:r>
          </w:p>
        </w:tc>
        <w:tc>
          <w:tcPr>
            <w:tcW w:w="1701" w:type="dxa"/>
            <w:vAlign w:val="bottom"/>
          </w:tcPr>
          <w:p w14:paraId="586AF33D" w14:textId="0F5692A1" w:rsidR="003812D5" w:rsidRPr="00C323D2" w:rsidRDefault="003812D5" w:rsidP="00803BE9">
            <w:pPr>
              <w:spacing w:after="0" w:line="240" w:lineRule="auto"/>
              <w:jc w:val="right"/>
              <w:rPr>
                <w:rFonts w:ascii="Times New Roman" w:eastAsia="Times New Roman" w:hAnsi="Times New Roman" w:cs="Times New Roman"/>
              </w:rPr>
            </w:pPr>
            <w:r w:rsidRPr="00C323D2">
              <w:rPr>
                <w:rFonts w:ascii="Times New Roman" w:eastAsia="Times New Roman" w:hAnsi="Times New Roman" w:cs="Times New Roman"/>
              </w:rPr>
              <w:t>1.026.547</w:t>
            </w:r>
          </w:p>
        </w:tc>
      </w:tr>
      <w:tr w:rsidR="00DE6F26" w:rsidRPr="00C323D2" w14:paraId="0CFFC652" w14:textId="77777777" w:rsidTr="00803BE9">
        <w:tc>
          <w:tcPr>
            <w:tcW w:w="5387" w:type="dxa"/>
            <w:vAlign w:val="bottom"/>
          </w:tcPr>
          <w:p w14:paraId="377EF2F6" w14:textId="3A7B51FE" w:rsidR="00DE6F26" w:rsidRPr="00C323D2" w:rsidRDefault="00DE6F26" w:rsidP="00803BE9">
            <w:pPr>
              <w:spacing w:after="0" w:line="240" w:lineRule="auto"/>
              <w:rPr>
                <w:rFonts w:ascii="Times New Roman" w:eastAsia="Times New Roman" w:hAnsi="Times New Roman" w:cs="Times New Roman"/>
                <w:b/>
              </w:rPr>
            </w:pPr>
            <w:r w:rsidRPr="00C323D2">
              <w:rPr>
                <w:rFonts w:ascii="Times New Roman" w:eastAsia="Times New Roman" w:hAnsi="Times New Roman" w:cs="Times New Roman"/>
                <w:b/>
              </w:rPr>
              <w:t>Ukupno</w:t>
            </w:r>
          </w:p>
        </w:tc>
        <w:tc>
          <w:tcPr>
            <w:tcW w:w="1701" w:type="dxa"/>
            <w:vAlign w:val="bottom"/>
          </w:tcPr>
          <w:p w14:paraId="1C3B8855" w14:textId="50FFFCAF" w:rsidR="00DE6F26" w:rsidRPr="00C323D2" w:rsidRDefault="003812D5" w:rsidP="005E6397">
            <w:pPr>
              <w:spacing w:after="0" w:line="240" w:lineRule="auto"/>
              <w:jc w:val="right"/>
              <w:rPr>
                <w:rFonts w:ascii="Times New Roman" w:eastAsia="Times New Roman" w:hAnsi="Times New Roman" w:cs="Times New Roman"/>
                <w:b/>
                <w:u w:val="double"/>
              </w:rPr>
            </w:pPr>
            <w:r w:rsidRPr="00C323D2">
              <w:rPr>
                <w:rFonts w:ascii="Times New Roman" w:eastAsia="Times New Roman" w:hAnsi="Times New Roman" w:cs="Times New Roman"/>
                <w:b/>
                <w:u w:val="double"/>
              </w:rPr>
              <w:t>6.</w:t>
            </w:r>
            <w:r w:rsidR="005E6397">
              <w:rPr>
                <w:rFonts w:ascii="Times New Roman" w:eastAsia="Times New Roman" w:hAnsi="Times New Roman" w:cs="Times New Roman"/>
                <w:b/>
                <w:u w:val="double"/>
              </w:rPr>
              <w:t>769.930</w:t>
            </w:r>
          </w:p>
        </w:tc>
        <w:tc>
          <w:tcPr>
            <w:tcW w:w="1701" w:type="dxa"/>
            <w:vAlign w:val="bottom"/>
          </w:tcPr>
          <w:p w14:paraId="32E9EADD" w14:textId="77777777" w:rsidR="00DE6F26" w:rsidRPr="00C323D2" w:rsidRDefault="00DE6F26" w:rsidP="00803BE9">
            <w:pPr>
              <w:spacing w:after="0" w:line="240" w:lineRule="auto"/>
              <w:jc w:val="right"/>
              <w:rPr>
                <w:rFonts w:ascii="Times New Roman" w:eastAsia="Times New Roman" w:hAnsi="Times New Roman" w:cs="Times New Roman"/>
                <w:b/>
                <w:u w:val="double"/>
              </w:rPr>
            </w:pPr>
          </w:p>
          <w:p w14:paraId="52E3ECC9" w14:textId="22E9E295" w:rsidR="00DE6F26" w:rsidRPr="00C323D2" w:rsidRDefault="00DE6F26" w:rsidP="005E6397">
            <w:pPr>
              <w:spacing w:after="0" w:line="240" w:lineRule="auto"/>
              <w:jc w:val="right"/>
              <w:rPr>
                <w:rFonts w:ascii="Times New Roman" w:eastAsia="Times New Roman" w:hAnsi="Times New Roman" w:cs="Times New Roman"/>
                <w:b/>
                <w:u w:val="double"/>
              </w:rPr>
            </w:pPr>
            <w:r w:rsidRPr="00C323D2">
              <w:rPr>
                <w:rFonts w:ascii="Times New Roman" w:eastAsia="Times New Roman" w:hAnsi="Times New Roman" w:cs="Times New Roman"/>
                <w:b/>
                <w:u w:val="double"/>
              </w:rPr>
              <w:t xml:space="preserve"> </w:t>
            </w:r>
            <w:r w:rsidR="003812D5" w:rsidRPr="00C323D2">
              <w:rPr>
                <w:rFonts w:ascii="Times New Roman" w:eastAsia="Times New Roman" w:hAnsi="Times New Roman" w:cs="Times New Roman"/>
                <w:b/>
                <w:u w:val="double"/>
              </w:rPr>
              <w:t>6.7</w:t>
            </w:r>
            <w:r w:rsidR="005E6397">
              <w:rPr>
                <w:rFonts w:ascii="Times New Roman" w:eastAsia="Times New Roman" w:hAnsi="Times New Roman" w:cs="Times New Roman"/>
                <w:b/>
                <w:u w:val="double"/>
              </w:rPr>
              <w:t>74</w:t>
            </w:r>
            <w:r w:rsidR="000C27FB" w:rsidRPr="00C323D2">
              <w:rPr>
                <w:rFonts w:ascii="Times New Roman" w:eastAsia="Times New Roman" w:hAnsi="Times New Roman" w:cs="Times New Roman"/>
                <w:b/>
                <w:u w:val="double"/>
              </w:rPr>
              <w:t>.</w:t>
            </w:r>
            <w:r w:rsidR="005E6397">
              <w:rPr>
                <w:rFonts w:ascii="Times New Roman" w:eastAsia="Times New Roman" w:hAnsi="Times New Roman" w:cs="Times New Roman"/>
                <w:b/>
                <w:u w:val="double"/>
              </w:rPr>
              <w:t>609</w:t>
            </w:r>
          </w:p>
        </w:tc>
      </w:tr>
    </w:tbl>
    <w:p w14:paraId="54E5D991" w14:textId="77777777" w:rsidR="00131D13" w:rsidRPr="00C323D2" w:rsidRDefault="00131D13" w:rsidP="00131D13">
      <w:pPr>
        <w:widowControl w:val="0"/>
        <w:spacing w:after="0" w:line="280" w:lineRule="exact"/>
        <w:jc w:val="both"/>
        <w:rPr>
          <w:rFonts w:ascii="Times New Roman" w:eastAsia="Times New Roman" w:hAnsi="Times New Roman" w:cs="Times New Roman"/>
          <w:b/>
        </w:rPr>
      </w:pPr>
    </w:p>
    <w:p w14:paraId="301FD749" w14:textId="77777777" w:rsidR="00131D13" w:rsidRPr="00C323D2" w:rsidRDefault="00131D13" w:rsidP="003C5F17">
      <w:pPr>
        <w:spacing w:after="0" w:line="240" w:lineRule="auto"/>
        <w:jc w:val="right"/>
        <w:rPr>
          <w:rFonts w:ascii="Times New Roman" w:eastAsia="Times New Roman" w:hAnsi="Times New Roman" w:cs="Times New Roman"/>
        </w:rPr>
      </w:pPr>
    </w:p>
    <w:p w14:paraId="100A5A4E" w14:textId="77777777" w:rsidR="00665E67" w:rsidRPr="00C323D2" w:rsidRDefault="00131D13" w:rsidP="00131D13">
      <w:pPr>
        <w:spacing w:after="0" w:line="240" w:lineRule="auto"/>
        <w:jc w:val="both"/>
        <w:rPr>
          <w:rFonts w:ascii="Times New Roman" w:eastAsia="Times New Roman" w:hAnsi="Times New Roman" w:cs="Times New Roman"/>
        </w:rPr>
      </w:pPr>
      <w:r w:rsidRPr="00C323D2">
        <w:rPr>
          <w:rFonts w:ascii="Times New Roman" w:eastAsia="Times New Roman" w:hAnsi="Times New Roman" w:cs="Times New Roman"/>
        </w:rPr>
        <w:t>U vanbilančnoj evidenciji iskazana je vrijednost robe primljene u komisiju, te temeljem odredbi Zakona o grobljima ukupna vrijednost zemljišta i zgrada vlasništvo lokalne samouprave koja je dana na upravljanje Društvu.</w:t>
      </w:r>
    </w:p>
    <w:p w14:paraId="77C340EF" w14:textId="77777777" w:rsidR="00763305" w:rsidRPr="00C323D2" w:rsidRDefault="00763305" w:rsidP="00131D13">
      <w:pPr>
        <w:spacing w:after="0" w:line="240" w:lineRule="auto"/>
        <w:jc w:val="both"/>
        <w:rPr>
          <w:rFonts w:ascii="Times New Roman" w:eastAsia="Times New Roman" w:hAnsi="Times New Roman" w:cs="Times New Roman"/>
        </w:rPr>
      </w:pPr>
    </w:p>
    <w:p w14:paraId="189F1899" w14:textId="77777777" w:rsidR="00763305" w:rsidRPr="00C323D2" w:rsidRDefault="00763305" w:rsidP="00131D13">
      <w:pPr>
        <w:spacing w:after="0" w:line="240" w:lineRule="auto"/>
        <w:jc w:val="both"/>
        <w:rPr>
          <w:rFonts w:ascii="Times New Roman" w:eastAsia="Times New Roman" w:hAnsi="Times New Roman" w:cs="Times New Roman"/>
        </w:rPr>
      </w:pPr>
    </w:p>
    <w:p w14:paraId="4076AD37" w14:textId="77777777" w:rsidR="00763305" w:rsidRPr="00C323D2" w:rsidRDefault="00763305" w:rsidP="00131D13">
      <w:pPr>
        <w:spacing w:after="0" w:line="240" w:lineRule="auto"/>
        <w:jc w:val="both"/>
        <w:rPr>
          <w:rFonts w:ascii="Times New Roman" w:eastAsia="Times New Roman" w:hAnsi="Times New Roman" w:cs="Times New Roman"/>
        </w:rPr>
      </w:pPr>
    </w:p>
    <w:p w14:paraId="23DFFEC2" w14:textId="77777777" w:rsidR="00763305" w:rsidRPr="00C323D2" w:rsidRDefault="00763305" w:rsidP="00131D13">
      <w:pPr>
        <w:spacing w:after="0" w:line="240" w:lineRule="auto"/>
        <w:jc w:val="both"/>
        <w:rPr>
          <w:rFonts w:ascii="Times New Roman" w:eastAsia="Times New Roman" w:hAnsi="Times New Roman" w:cs="Times New Roman"/>
        </w:rPr>
      </w:pPr>
    </w:p>
    <w:p w14:paraId="633D21E8" w14:textId="77777777" w:rsidR="00763305" w:rsidRPr="00C323D2" w:rsidRDefault="00763305" w:rsidP="00131D13">
      <w:pPr>
        <w:spacing w:after="0" w:line="240" w:lineRule="auto"/>
        <w:jc w:val="both"/>
        <w:rPr>
          <w:rFonts w:ascii="Times New Roman" w:eastAsia="Times New Roman" w:hAnsi="Times New Roman" w:cs="Times New Roman"/>
        </w:rPr>
      </w:pPr>
    </w:p>
    <w:p w14:paraId="3B4A9B6C" w14:textId="77777777" w:rsidR="00763305" w:rsidRDefault="00763305" w:rsidP="00131D13">
      <w:pPr>
        <w:spacing w:after="0" w:line="240" w:lineRule="auto"/>
        <w:jc w:val="both"/>
        <w:rPr>
          <w:rFonts w:ascii="Times New Roman" w:eastAsia="Times New Roman" w:hAnsi="Times New Roman" w:cs="Times New Roman"/>
        </w:rPr>
      </w:pPr>
    </w:p>
    <w:p w14:paraId="28F1AF9B" w14:textId="77777777" w:rsidR="008675AD" w:rsidRDefault="008675AD" w:rsidP="00131D13">
      <w:pPr>
        <w:spacing w:after="0" w:line="240" w:lineRule="auto"/>
        <w:jc w:val="both"/>
        <w:rPr>
          <w:rFonts w:ascii="Times New Roman" w:eastAsia="Times New Roman" w:hAnsi="Times New Roman" w:cs="Times New Roman"/>
        </w:rPr>
      </w:pPr>
    </w:p>
    <w:p w14:paraId="5AEA929E" w14:textId="77777777" w:rsidR="008675AD" w:rsidRDefault="008675AD" w:rsidP="00131D13">
      <w:pPr>
        <w:spacing w:after="0" w:line="240" w:lineRule="auto"/>
        <w:jc w:val="both"/>
        <w:rPr>
          <w:rFonts w:ascii="Times New Roman" w:eastAsia="Times New Roman" w:hAnsi="Times New Roman" w:cs="Times New Roman"/>
        </w:rPr>
      </w:pPr>
    </w:p>
    <w:p w14:paraId="740791E9" w14:textId="77777777" w:rsidR="008675AD" w:rsidRDefault="008675AD" w:rsidP="00131D13">
      <w:pPr>
        <w:spacing w:after="0" w:line="240" w:lineRule="auto"/>
        <w:jc w:val="both"/>
        <w:rPr>
          <w:rFonts w:ascii="Times New Roman" w:eastAsia="Times New Roman" w:hAnsi="Times New Roman" w:cs="Times New Roman"/>
        </w:rPr>
      </w:pPr>
    </w:p>
    <w:p w14:paraId="617581AB" w14:textId="77777777" w:rsidR="008675AD" w:rsidRDefault="008675AD" w:rsidP="00131D13">
      <w:pPr>
        <w:spacing w:after="0" w:line="240" w:lineRule="auto"/>
        <w:jc w:val="both"/>
        <w:rPr>
          <w:rFonts w:ascii="Times New Roman" w:eastAsia="Times New Roman" w:hAnsi="Times New Roman" w:cs="Times New Roman"/>
        </w:rPr>
      </w:pPr>
    </w:p>
    <w:p w14:paraId="73FC57DB" w14:textId="77777777" w:rsidR="008675AD" w:rsidRDefault="008675AD" w:rsidP="00131D13">
      <w:pPr>
        <w:spacing w:after="0" w:line="240" w:lineRule="auto"/>
        <w:jc w:val="both"/>
        <w:rPr>
          <w:rFonts w:ascii="Times New Roman" w:eastAsia="Times New Roman" w:hAnsi="Times New Roman" w:cs="Times New Roman"/>
        </w:rPr>
      </w:pPr>
    </w:p>
    <w:p w14:paraId="32C36B7D" w14:textId="77777777" w:rsidR="008675AD" w:rsidRDefault="008675AD" w:rsidP="00131D13">
      <w:pPr>
        <w:spacing w:after="0" w:line="240" w:lineRule="auto"/>
        <w:jc w:val="both"/>
        <w:rPr>
          <w:rFonts w:ascii="Times New Roman" w:eastAsia="Times New Roman" w:hAnsi="Times New Roman" w:cs="Times New Roman"/>
        </w:rPr>
      </w:pPr>
    </w:p>
    <w:p w14:paraId="0DFF68DD" w14:textId="77777777" w:rsidR="008675AD" w:rsidRDefault="008675AD" w:rsidP="00131D13">
      <w:pPr>
        <w:spacing w:after="0" w:line="240" w:lineRule="auto"/>
        <w:jc w:val="both"/>
        <w:rPr>
          <w:rFonts w:ascii="Times New Roman" w:eastAsia="Times New Roman" w:hAnsi="Times New Roman" w:cs="Times New Roman"/>
        </w:rPr>
      </w:pPr>
    </w:p>
    <w:p w14:paraId="1A66A095" w14:textId="77777777" w:rsidR="008675AD" w:rsidRDefault="008675AD" w:rsidP="00131D13">
      <w:pPr>
        <w:spacing w:after="0" w:line="240" w:lineRule="auto"/>
        <w:jc w:val="both"/>
        <w:rPr>
          <w:rFonts w:ascii="Times New Roman" w:eastAsia="Times New Roman" w:hAnsi="Times New Roman" w:cs="Times New Roman"/>
        </w:rPr>
      </w:pPr>
    </w:p>
    <w:p w14:paraId="6E2B33BE" w14:textId="77777777" w:rsidR="008675AD" w:rsidRDefault="008675AD" w:rsidP="00131D13">
      <w:pPr>
        <w:spacing w:after="0" w:line="240" w:lineRule="auto"/>
        <w:jc w:val="both"/>
        <w:rPr>
          <w:rFonts w:ascii="Times New Roman" w:eastAsia="Times New Roman" w:hAnsi="Times New Roman" w:cs="Times New Roman"/>
        </w:rPr>
      </w:pPr>
    </w:p>
    <w:p w14:paraId="0A6CE209" w14:textId="77777777" w:rsidR="008675AD" w:rsidRDefault="008675AD" w:rsidP="00131D13">
      <w:pPr>
        <w:spacing w:after="0" w:line="240" w:lineRule="auto"/>
        <w:jc w:val="both"/>
        <w:rPr>
          <w:rFonts w:ascii="Times New Roman" w:eastAsia="Times New Roman" w:hAnsi="Times New Roman" w:cs="Times New Roman"/>
        </w:rPr>
      </w:pPr>
    </w:p>
    <w:p w14:paraId="0E2816DD" w14:textId="77777777" w:rsidR="008675AD" w:rsidRDefault="008675AD" w:rsidP="00131D13">
      <w:pPr>
        <w:spacing w:after="0" w:line="240" w:lineRule="auto"/>
        <w:jc w:val="both"/>
        <w:rPr>
          <w:rFonts w:ascii="Times New Roman" w:eastAsia="Times New Roman" w:hAnsi="Times New Roman" w:cs="Times New Roman"/>
        </w:rPr>
      </w:pPr>
    </w:p>
    <w:p w14:paraId="3301DA7A" w14:textId="77777777" w:rsidR="008675AD" w:rsidRDefault="008675AD" w:rsidP="00131D13">
      <w:pPr>
        <w:spacing w:after="0" w:line="240" w:lineRule="auto"/>
        <w:jc w:val="both"/>
        <w:rPr>
          <w:rFonts w:ascii="Times New Roman" w:eastAsia="Times New Roman" w:hAnsi="Times New Roman" w:cs="Times New Roman"/>
        </w:rPr>
      </w:pPr>
    </w:p>
    <w:p w14:paraId="69274B04" w14:textId="77777777" w:rsidR="008675AD" w:rsidRDefault="008675AD" w:rsidP="00131D13">
      <w:pPr>
        <w:spacing w:after="0" w:line="240" w:lineRule="auto"/>
        <w:jc w:val="both"/>
        <w:rPr>
          <w:rFonts w:ascii="Times New Roman" w:eastAsia="Times New Roman" w:hAnsi="Times New Roman" w:cs="Times New Roman"/>
        </w:rPr>
      </w:pPr>
    </w:p>
    <w:p w14:paraId="2375CA59" w14:textId="77777777" w:rsidR="008675AD" w:rsidRDefault="008675AD" w:rsidP="00131D13">
      <w:pPr>
        <w:spacing w:after="0" w:line="240" w:lineRule="auto"/>
        <w:jc w:val="both"/>
        <w:rPr>
          <w:rFonts w:ascii="Times New Roman" w:eastAsia="Times New Roman" w:hAnsi="Times New Roman" w:cs="Times New Roman"/>
        </w:rPr>
      </w:pPr>
    </w:p>
    <w:p w14:paraId="78E06F67" w14:textId="77777777" w:rsidR="008675AD" w:rsidRDefault="008675AD" w:rsidP="00131D13">
      <w:pPr>
        <w:spacing w:after="0" w:line="240" w:lineRule="auto"/>
        <w:jc w:val="both"/>
        <w:rPr>
          <w:rFonts w:ascii="Times New Roman" w:eastAsia="Times New Roman" w:hAnsi="Times New Roman" w:cs="Times New Roman"/>
        </w:rPr>
      </w:pPr>
    </w:p>
    <w:p w14:paraId="551EAFAA" w14:textId="77777777" w:rsidR="008675AD" w:rsidRDefault="008675AD" w:rsidP="00131D13">
      <w:pPr>
        <w:spacing w:after="0" w:line="240" w:lineRule="auto"/>
        <w:jc w:val="both"/>
        <w:rPr>
          <w:rFonts w:ascii="Times New Roman" w:eastAsia="Times New Roman" w:hAnsi="Times New Roman" w:cs="Times New Roman"/>
        </w:rPr>
      </w:pPr>
    </w:p>
    <w:p w14:paraId="1545E04E" w14:textId="77777777" w:rsidR="008675AD" w:rsidRDefault="008675AD" w:rsidP="00131D13">
      <w:pPr>
        <w:spacing w:after="0" w:line="240" w:lineRule="auto"/>
        <w:jc w:val="both"/>
        <w:rPr>
          <w:rFonts w:ascii="Times New Roman" w:eastAsia="Times New Roman" w:hAnsi="Times New Roman" w:cs="Times New Roman"/>
        </w:rPr>
      </w:pPr>
    </w:p>
    <w:p w14:paraId="34BAD81E" w14:textId="77777777" w:rsidR="008675AD" w:rsidRDefault="008675AD" w:rsidP="00131D13">
      <w:pPr>
        <w:spacing w:after="0" w:line="240" w:lineRule="auto"/>
        <w:jc w:val="both"/>
        <w:rPr>
          <w:rFonts w:ascii="Times New Roman" w:eastAsia="Times New Roman" w:hAnsi="Times New Roman" w:cs="Times New Roman"/>
        </w:rPr>
      </w:pPr>
    </w:p>
    <w:p w14:paraId="7F01D12F" w14:textId="77777777" w:rsidR="008675AD" w:rsidRDefault="008675AD" w:rsidP="00131D13">
      <w:pPr>
        <w:spacing w:after="0" w:line="240" w:lineRule="auto"/>
        <w:jc w:val="both"/>
        <w:rPr>
          <w:rFonts w:ascii="Times New Roman" w:eastAsia="Times New Roman" w:hAnsi="Times New Roman" w:cs="Times New Roman"/>
        </w:rPr>
      </w:pPr>
    </w:p>
    <w:p w14:paraId="03C2F38F" w14:textId="77777777" w:rsidR="008675AD" w:rsidRDefault="008675AD" w:rsidP="00131D13">
      <w:pPr>
        <w:spacing w:after="0" w:line="240" w:lineRule="auto"/>
        <w:jc w:val="both"/>
        <w:rPr>
          <w:rFonts w:ascii="Times New Roman" w:eastAsia="Times New Roman" w:hAnsi="Times New Roman" w:cs="Times New Roman"/>
        </w:rPr>
      </w:pPr>
    </w:p>
    <w:p w14:paraId="6906759C" w14:textId="77777777" w:rsidR="008675AD" w:rsidRDefault="008675AD" w:rsidP="00131D13">
      <w:pPr>
        <w:spacing w:after="0" w:line="240" w:lineRule="auto"/>
        <w:jc w:val="both"/>
        <w:rPr>
          <w:rFonts w:ascii="Times New Roman" w:eastAsia="Times New Roman" w:hAnsi="Times New Roman" w:cs="Times New Roman"/>
        </w:rPr>
      </w:pPr>
    </w:p>
    <w:p w14:paraId="37DAD882" w14:textId="77777777" w:rsidR="008675AD" w:rsidRDefault="008675AD" w:rsidP="00131D13">
      <w:pPr>
        <w:spacing w:after="0" w:line="240" w:lineRule="auto"/>
        <w:jc w:val="both"/>
        <w:rPr>
          <w:rFonts w:ascii="Times New Roman" w:eastAsia="Times New Roman" w:hAnsi="Times New Roman" w:cs="Times New Roman"/>
        </w:rPr>
      </w:pPr>
    </w:p>
    <w:p w14:paraId="61B0D036" w14:textId="77777777" w:rsidR="008675AD" w:rsidRDefault="008675AD" w:rsidP="00131D13">
      <w:pPr>
        <w:spacing w:after="0" w:line="240" w:lineRule="auto"/>
        <w:jc w:val="both"/>
        <w:rPr>
          <w:rFonts w:ascii="Times New Roman" w:eastAsia="Times New Roman" w:hAnsi="Times New Roman" w:cs="Times New Roman"/>
        </w:rPr>
      </w:pPr>
    </w:p>
    <w:p w14:paraId="5730916A" w14:textId="77777777" w:rsidR="008675AD" w:rsidRDefault="008675AD" w:rsidP="00131D13">
      <w:pPr>
        <w:spacing w:after="0" w:line="240" w:lineRule="auto"/>
        <w:jc w:val="both"/>
        <w:rPr>
          <w:rFonts w:ascii="Times New Roman" w:eastAsia="Times New Roman" w:hAnsi="Times New Roman" w:cs="Times New Roman"/>
        </w:rPr>
      </w:pPr>
    </w:p>
    <w:p w14:paraId="7D477BA0" w14:textId="77777777" w:rsidR="008675AD" w:rsidRDefault="008675AD" w:rsidP="00131D13">
      <w:pPr>
        <w:spacing w:after="0" w:line="240" w:lineRule="auto"/>
        <w:jc w:val="both"/>
        <w:rPr>
          <w:rFonts w:ascii="Times New Roman" w:eastAsia="Times New Roman" w:hAnsi="Times New Roman" w:cs="Times New Roman"/>
        </w:rPr>
      </w:pPr>
    </w:p>
    <w:p w14:paraId="3A5EAD73" w14:textId="77777777" w:rsidR="008675AD" w:rsidRDefault="008675AD" w:rsidP="00131D13">
      <w:pPr>
        <w:spacing w:after="0" w:line="240" w:lineRule="auto"/>
        <w:jc w:val="both"/>
        <w:rPr>
          <w:rFonts w:ascii="Times New Roman" w:eastAsia="Times New Roman" w:hAnsi="Times New Roman" w:cs="Times New Roman"/>
        </w:rPr>
      </w:pPr>
    </w:p>
    <w:p w14:paraId="5D30E639" w14:textId="37FD038E" w:rsidR="008675AD" w:rsidRPr="00C323D2" w:rsidRDefault="008675AD" w:rsidP="008675A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10</w:t>
      </w:r>
    </w:p>
    <w:p w14:paraId="3839456B" w14:textId="77777777" w:rsidR="00763305" w:rsidRPr="00C323D2" w:rsidRDefault="00763305" w:rsidP="00131D13">
      <w:pPr>
        <w:spacing w:after="0" w:line="240" w:lineRule="auto"/>
        <w:jc w:val="both"/>
        <w:rPr>
          <w:rFonts w:ascii="Times New Roman" w:eastAsia="Times New Roman" w:hAnsi="Times New Roman" w:cs="Times New Roman"/>
        </w:rPr>
      </w:pPr>
    </w:p>
    <w:p w14:paraId="2A5F7B2C" w14:textId="0828E2C8" w:rsidR="00A16F70" w:rsidRPr="008675AD" w:rsidRDefault="00665E67" w:rsidP="00131D13">
      <w:pPr>
        <w:spacing w:after="0" w:line="240" w:lineRule="auto"/>
        <w:jc w:val="both"/>
        <w:rPr>
          <w:rFonts w:ascii="Times New Roman" w:eastAsia="Times New Roman" w:hAnsi="Times New Roman" w:cs="Times New Roman"/>
          <w:b/>
        </w:rPr>
      </w:pPr>
      <w:r w:rsidRPr="008675AD">
        <w:rPr>
          <w:rFonts w:ascii="Times New Roman" w:eastAsia="Times New Roman" w:hAnsi="Times New Roman" w:cs="Times New Roman"/>
          <w:b/>
        </w:rPr>
        <w:t>RAČIN DOBITI I GUBITKA</w:t>
      </w:r>
      <w:r w:rsidR="00131D13" w:rsidRPr="008675AD">
        <w:rPr>
          <w:rFonts w:ascii="Times New Roman" w:eastAsia="Times New Roman" w:hAnsi="Times New Roman" w:cs="Times New Roman"/>
        </w:rPr>
        <w:tab/>
      </w:r>
      <w:r w:rsidR="00131D13" w:rsidRPr="008675AD">
        <w:rPr>
          <w:rFonts w:ascii="Times New Roman" w:eastAsia="Times New Roman" w:hAnsi="Times New Roman" w:cs="Times New Roman"/>
        </w:rPr>
        <w:tab/>
      </w:r>
      <w:r w:rsidR="00131D13" w:rsidRPr="008675AD">
        <w:rPr>
          <w:rFonts w:ascii="Times New Roman" w:eastAsia="Times New Roman" w:hAnsi="Times New Roman" w:cs="Times New Roman"/>
        </w:rPr>
        <w:tab/>
      </w:r>
      <w:r w:rsidR="00131D13" w:rsidRPr="008675AD">
        <w:rPr>
          <w:rFonts w:ascii="Times New Roman" w:eastAsia="Times New Roman" w:hAnsi="Times New Roman" w:cs="Times New Roman"/>
        </w:rPr>
        <w:tab/>
      </w:r>
      <w:r w:rsidR="00131D13" w:rsidRPr="008675AD">
        <w:rPr>
          <w:rFonts w:ascii="Times New Roman" w:eastAsia="Times New Roman" w:hAnsi="Times New Roman" w:cs="Times New Roman"/>
        </w:rPr>
        <w:tab/>
      </w:r>
      <w:r w:rsidR="00131D13" w:rsidRPr="008675AD">
        <w:rPr>
          <w:rFonts w:ascii="Times New Roman" w:eastAsia="Times New Roman" w:hAnsi="Times New Roman" w:cs="Times New Roman"/>
        </w:rPr>
        <w:tab/>
      </w:r>
      <w:r w:rsidR="00131D13" w:rsidRPr="008675AD">
        <w:rPr>
          <w:rFonts w:ascii="Times New Roman" w:eastAsia="Times New Roman" w:hAnsi="Times New Roman" w:cs="Times New Roman"/>
        </w:rPr>
        <w:tab/>
      </w:r>
      <w:r w:rsidR="00131D13" w:rsidRPr="008675AD">
        <w:rPr>
          <w:rFonts w:ascii="Times New Roman" w:eastAsia="Times New Roman" w:hAnsi="Times New Roman" w:cs="Times New Roman"/>
        </w:rPr>
        <w:tab/>
      </w:r>
      <w:r w:rsidR="00131D13" w:rsidRPr="008675AD">
        <w:rPr>
          <w:rFonts w:ascii="Times New Roman" w:eastAsia="Times New Roman" w:hAnsi="Times New Roman" w:cs="Times New Roman"/>
        </w:rPr>
        <w:tab/>
      </w:r>
    </w:p>
    <w:p w14:paraId="2C04FDE9" w14:textId="77777777" w:rsidR="00131D13" w:rsidRPr="008675AD" w:rsidRDefault="00131D13" w:rsidP="00131D13">
      <w:pPr>
        <w:spacing w:after="0" w:line="240" w:lineRule="auto"/>
        <w:jc w:val="both"/>
        <w:rPr>
          <w:rFonts w:ascii="Times New Roman" w:eastAsia="Times New Roman" w:hAnsi="Times New Roman" w:cs="Times New Roman"/>
          <w:b/>
        </w:rPr>
      </w:pPr>
      <w:r w:rsidRPr="008675AD">
        <w:rPr>
          <w:rFonts w:ascii="Times New Roman" w:eastAsia="Times New Roman" w:hAnsi="Times New Roman" w:cs="Times New Roman"/>
          <w:b/>
        </w:rPr>
        <w:tab/>
      </w:r>
    </w:p>
    <w:p w14:paraId="568D8C97" w14:textId="77777777" w:rsidR="00131D13" w:rsidRPr="008675AD" w:rsidRDefault="00131D13" w:rsidP="00131D13">
      <w:pPr>
        <w:spacing w:after="0" w:line="240" w:lineRule="auto"/>
        <w:jc w:val="both"/>
        <w:rPr>
          <w:rFonts w:ascii="Times New Roman" w:eastAsia="Times New Roman" w:hAnsi="Times New Roman" w:cs="Times New Roman"/>
          <w:b/>
        </w:rPr>
      </w:pPr>
      <w:r w:rsidRPr="008675AD">
        <w:rPr>
          <w:rFonts w:ascii="Times New Roman" w:eastAsia="Times New Roman" w:hAnsi="Times New Roman" w:cs="Times New Roman"/>
          <w:b/>
        </w:rPr>
        <w:t>Bilješka  14. Poslovni prihodi</w:t>
      </w:r>
    </w:p>
    <w:p w14:paraId="0F57587F" w14:textId="77777777" w:rsidR="00131D13" w:rsidRPr="008675AD" w:rsidRDefault="00131D13" w:rsidP="00131D13">
      <w:pPr>
        <w:spacing w:after="0" w:line="240" w:lineRule="auto"/>
        <w:jc w:val="both"/>
        <w:rPr>
          <w:rFonts w:ascii="Times New Roman" w:eastAsia="Times New Roman" w:hAnsi="Times New Roman" w:cs="Times New Roman"/>
        </w:rPr>
      </w:pPr>
    </w:p>
    <w:tbl>
      <w:tblPr>
        <w:tblW w:w="8789" w:type="dxa"/>
        <w:tblInd w:w="108" w:type="dxa"/>
        <w:tblLayout w:type="fixed"/>
        <w:tblLook w:val="0000" w:firstRow="0" w:lastRow="0" w:firstColumn="0" w:lastColumn="0" w:noHBand="0" w:noVBand="0"/>
      </w:tblPr>
      <w:tblGrid>
        <w:gridCol w:w="5387"/>
        <w:gridCol w:w="1701"/>
        <w:gridCol w:w="1701"/>
      </w:tblGrid>
      <w:tr w:rsidR="00131D13" w:rsidRPr="008675AD" w14:paraId="48D7E4E0" w14:textId="77777777" w:rsidTr="002235D2">
        <w:trPr>
          <w:trHeight w:val="288"/>
        </w:trPr>
        <w:tc>
          <w:tcPr>
            <w:tcW w:w="5387" w:type="dxa"/>
            <w:tcBorders>
              <w:bottom w:val="single" w:sz="4" w:space="0" w:color="auto"/>
            </w:tcBorders>
            <w:vAlign w:val="bottom"/>
          </w:tcPr>
          <w:p w14:paraId="24EAB93C" w14:textId="77777777" w:rsidR="00131D13" w:rsidRPr="008675AD" w:rsidRDefault="00131D13" w:rsidP="002235D2">
            <w:pPr>
              <w:spacing w:after="0" w:line="240" w:lineRule="auto"/>
              <w:rPr>
                <w:rFonts w:ascii="Times New Roman" w:eastAsia="Times New Roman" w:hAnsi="Times New Roman" w:cs="Times New Roman"/>
                <w:b/>
                <w:bCs/>
                <w:lang w:eastAsia="hr-HR"/>
              </w:rPr>
            </w:pPr>
            <w:r w:rsidRPr="008675AD">
              <w:rPr>
                <w:rFonts w:ascii="Times New Roman" w:eastAsia="Times New Roman" w:hAnsi="Times New Roman" w:cs="Times New Roman"/>
                <w:b/>
                <w:bCs/>
                <w:lang w:eastAsia="hr-HR"/>
              </w:rPr>
              <w:t>Naziv pozicija</w:t>
            </w:r>
          </w:p>
        </w:tc>
        <w:tc>
          <w:tcPr>
            <w:tcW w:w="1701" w:type="dxa"/>
            <w:tcBorders>
              <w:bottom w:val="single" w:sz="4" w:space="0" w:color="auto"/>
            </w:tcBorders>
          </w:tcPr>
          <w:p w14:paraId="5BD0F602" w14:textId="03EC91F0" w:rsidR="00131D13" w:rsidRPr="008675AD" w:rsidRDefault="00131D13" w:rsidP="005E6397">
            <w:pPr>
              <w:spacing w:after="0" w:line="240" w:lineRule="auto"/>
              <w:jc w:val="right"/>
              <w:rPr>
                <w:rFonts w:ascii="Times New Roman" w:eastAsia="Times New Roman" w:hAnsi="Times New Roman" w:cs="Times New Roman"/>
                <w:b/>
                <w:bCs/>
              </w:rPr>
            </w:pPr>
            <w:r w:rsidRPr="008675AD">
              <w:rPr>
                <w:rFonts w:ascii="Times New Roman" w:eastAsia="Times New Roman" w:hAnsi="Times New Roman" w:cs="Times New Roman"/>
                <w:b/>
                <w:bCs/>
              </w:rPr>
              <w:t>20</w:t>
            </w:r>
            <w:r w:rsidR="000C27FB" w:rsidRPr="008675AD">
              <w:rPr>
                <w:rFonts w:ascii="Times New Roman" w:eastAsia="Times New Roman" w:hAnsi="Times New Roman" w:cs="Times New Roman"/>
                <w:b/>
                <w:bCs/>
              </w:rPr>
              <w:t>2</w:t>
            </w:r>
            <w:r w:rsidR="005E6397" w:rsidRPr="008675AD">
              <w:rPr>
                <w:rFonts w:ascii="Times New Roman" w:eastAsia="Times New Roman" w:hAnsi="Times New Roman" w:cs="Times New Roman"/>
                <w:b/>
                <w:bCs/>
              </w:rPr>
              <w:t>1</w:t>
            </w:r>
            <w:r w:rsidRPr="008675AD">
              <w:rPr>
                <w:rFonts w:ascii="Times New Roman" w:eastAsia="Times New Roman" w:hAnsi="Times New Roman" w:cs="Times New Roman"/>
                <w:b/>
                <w:bCs/>
              </w:rPr>
              <w:t>.</w:t>
            </w:r>
          </w:p>
        </w:tc>
        <w:tc>
          <w:tcPr>
            <w:tcW w:w="1701" w:type="dxa"/>
            <w:tcBorders>
              <w:bottom w:val="single" w:sz="4" w:space="0" w:color="auto"/>
            </w:tcBorders>
          </w:tcPr>
          <w:p w14:paraId="7A7A81F1" w14:textId="47F3800C" w:rsidR="00131D13" w:rsidRPr="008675AD" w:rsidRDefault="00131D13" w:rsidP="005E6397">
            <w:pPr>
              <w:spacing w:after="0" w:line="240" w:lineRule="auto"/>
              <w:jc w:val="right"/>
              <w:rPr>
                <w:rFonts w:ascii="Times New Roman" w:eastAsia="Times New Roman" w:hAnsi="Times New Roman" w:cs="Times New Roman"/>
                <w:b/>
                <w:bCs/>
              </w:rPr>
            </w:pPr>
            <w:r w:rsidRPr="008675AD">
              <w:rPr>
                <w:rFonts w:ascii="Times New Roman" w:eastAsia="Times New Roman" w:hAnsi="Times New Roman" w:cs="Times New Roman"/>
                <w:b/>
                <w:bCs/>
              </w:rPr>
              <w:t>20</w:t>
            </w:r>
            <w:r w:rsidR="008E7491" w:rsidRPr="008675AD">
              <w:rPr>
                <w:rFonts w:ascii="Times New Roman" w:eastAsia="Times New Roman" w:hAnsi="Times New Roman" w:cs="Times New Roman"/>
                <w:b/>
                <w:bCs/>
              </w:rPr>
              <w:t>2</w:t>
            </w:r>
            <w:r w:rsidR="005E6397" w:rsidRPr="008675AD">
              <w:rPr>
                <w:rFonts w:ascii="Times New Roman" w:eastAsia="Times New Roman" w:hAnsi="Times New Roman" w:cs="Times New Roman"/>
                <w:b/>
                <w:bCs/>
              </w:rPr>
              <w:t>2</w:t>
            </w:r>
            <w:r w:rsidRPr="008675AD">
              <w:rPr>
                <w:rFonts w:ascii="Times New Roman" w:eastAsia="Times New Roman" w:hAnsi="Times New Roman" w:cs="Times New Roman"/>
                <w:b/>
                <w:bCs/>
              </w:rPr>
              <w:t>.</w:t>
            </w:r>
          </w:p>
        </w:tc>
      </w:tr>
      <w:tr w:rsidR="00131D13" w:rsidRPr="008675AD" w14:paraId="4B9F5C5E" w14:textId="77777777" w:rsidTr="002235D2">
        <w:tc>
          <w:tcPr>
            <w:tcW w:w="5387" w:type="dxa"/>
            <w:tcBorders>
              <w:top w:val="single" w:sz="4" w:space="0" w:color="auto"/>
            </w:tcBorders>
            <w:vAlign w:val="bottom"/>
          </w:tcPr>
          <w:p w14:paraId="1D7435A0" w14:textId="77777777" w:rsidR="00131D13" w:rsidRPr="008675AD" w:rsidRDefault="00131D13" w:rsidP="002235D2">
            <w:pPr>
              <w:spacing w:after="0" w:line="240" w:lineRule="auto"/>
              <w:rPr>
                <w:rFonts w:ascii="Times New Roman" w:eastAsia="Times New Roman" w:hAnsi="Times New Roman" w:cs="Times New Roman"/>
              </w:rPr>
            </w:pPr>
          </w:p>
          <w:p w14:paraId="0E3A0336" w14:textId="77777777" w:rsidR="00131D13" w:rsidRPr="008675AD" w:rsidRDefault="00131D13" w:rsidP="002235D2">
            <w:pPr>
              <w:spacing w:after="0" w:line="240" w:lineRule="auto"/>
              <w:rPr>
                <w:rFonts w:ascii="Times New Roman" w:eastAsia="Times New Roman" w:hAnsi="Times New Roman" w:cs="Times New Roman"/>
              </w:rPr>
            </w:pPr>
            <w:r w:rsidRPr="008675AD">
              <w:rPr>
                <w:rFonts w:ascii="Times New Roman" w:eastAsia="Times New Roman" w:hAnsi="Times New Roman" w:cs="Times New Roman"/>
              </w:rPr>
              <w:t xml:space="preserve">Prihodi od prodaje usluga u zemlji </w:t>
            </w:r>
          </w:p>
        </w:tc>
        <w:tc>
          <w:tcPr>
            <w:tcW w:w="1701" w:type="dxa"/>
            <w:tcBorders>
              <w:top w:val="single" w:sz="4" w:space="0" w:color="auto"/>
            </w:tcBorders>
            <w:vAlign w:val="bottom"/>
          </w:tcPr>
          <w:p w14:paraId="6299D80D" w14:textId="71FAD32E" w:rsidR="00131D13" w:rsidRPr="008675AD" w:rsidRDefault="00131D13" w:rsidP="005E6397">
            <w:pPr>
              <w:spacing w:after="0" w:line="240" w:lineRule="auto"/>
              <w:jc w:val="right"/>
              <w:rPr>
                <w:rFonts w:ascii="Times New Roman" w:eastAsia="Times New Roman" w:hAnsi="Times New Roman" w:cs="Times New Roman"/>
              </w:rPr>
            </w:pPr>
            <w:r w:rsidRPr="008675AD">
              <w:rPr>
                <w:rFonts w:ascii="Times New Roman" w:eastAsia="Times New Roman" w:hAnsi="Times New Roman" w:cs="Times New Roman"/>
              </w:rPr>
              <w:t>5.</w:t>
            </w:r>
            <w:r w:rsidR="000C27FB" w:rsidRPr="008675AD">
              <w:rPr>
                <w:rFonts w:ascii="Times New Roman" w:eastAsia="Times New Roman" w:hAnsi="Times New Roman" w:cs="Times New Roman"/>
              </w:rPr>
              <w:t>6</w:t>
            </w:r>
            <w:r w:rsidR="005E6397" w:rsidRPr="008675AD">
              <w:rPr>
                <w:rFonts w:ascii="Times New Roman" w:eastAsia="Times New Roman" w:hAnsi="Times New Roman" w:cs="Times New Roman"/>
              </w:rPr>
              <w:t>73.027</w:t>
            </w:r>
          </w:p>
        </w:tc>
        <w:tc>
          <w:tcPr>
            <w:tcW w:w="1701" w:type="dxa"/>
            <w:tcBorders>
              <w:top w:val="single" w:sz="4" w:space="0" w:color="auto"/>
            </w:tcBorders>
            <w:vAlign w:val="bottom"/>
          </w:tcPr>
          <w:p w14:paraId="430255B8" w14:textId="49EC5B23" w:rsidR="00131D13" w:rsidRPr="008675AD" w:rsidRDefault="005E6397" w:rsidP="00901991">
            <w:pPr>
              <w:spacing w:after="0" w:line="240" w:lineRule="auto"/>
              <w:jc w:val="right"/>
              <w:rPr>
                <w:rFonts w:ascii="Times New Roman" w:eastAsia="Times New Roman" w:hAnsi="Times New Roman" w:cs="Times New Roman"/>
              </w:rPr>
            </w:pPr>
            <w:r w:rsidRPr="008675AD">
              <w:rPr>
                <w:rFonts w:ascii="Times New Roman" w:eastAsia="Times New Roman" w:hAnsi="Times New Roman" w:cs="Times New Roman"/>
              </w:rPr>
              <w:t>6.005.844</w:t>
            </w:r>
          </w:p>
        </w:tc>
      </w:tr>
      <w:tr w:rsidR="00131D13" w:rsidRPr="008675AD" w14:paraId="07209DAF" w14:textId="77777777" w:rsidTr="002235D2">
        <w:tc>
          <w:tcPr>
            <w:tcW w:w="5387" w:type="dxa"/>
            <w:vAlign w:val="bottom"/>
          </w:tcPr>
          <w:p w14:paraId="3BA76AE6" w14:textId="7216AF6C" w:rsidR="00131D13" w:rsidRPr="008675AD" w:rsidRDefault="00131D13" w:rsidP="002235D2">
            <w:pPr>
              <w:spacing w:after="0" w:line="240" w:lineRule="auto"/>
              <w:rPr>
                <w:rFonts w:ascii="Times New Roman" w:eastAsia="Times New Roman" w:hAnsi="Times New Roman" w:cs="Times New Roman"/>
              </w:rPr>
            </w:pPr>
          </w:p>
          <w:p w14:paraId="20BCD0D9" w14:textId="77777777" w:rsidR="00131D13" w:rsidRPr="008675AD" w:rsidRDefault="00131D13" w:rsidP="002235D2">
            <w:pPr>
              <w:spacing w:after="0" w:line="240" w:lineRule="auto"/>
              <w:rPr>
                <w:rFonts w:ascii="Times New Roman" w:eastAsia="Times New Roman" w:hAnsi="Times New Roman" w:cs="Times New Roman"/>
              </w:rPr>
            </w:pPr>
            <w:r w:rsidRPr="008675AD">
              <w:rPr>
                <w:rFonts w:ascii="Times New Roman" w:eastAsia="Times New Roman" w:hAnsi="Times New Roman" w:cs="Times New Roman"/>
              </w:rPr>
              <w:t>Prihodi od prodaje robe u zemlji</w:t>
            </w:r>
          </w:p>
        </w:tc>
        <w:tc>
          <w:tcPr>
            <w:tcW w:w="1701" w:type="dxa"/>
            <w:vAlign w:val="bottom"/>
          </w:tcPr>
          <w:p w14:paraId="06A4DFC4" w14:textId="780E8140" w:rsidR="00131D13" w:rsidRPr="008675AD" w:rsidRDefault="005E6397" w:rsidP="002235D2">
            <w:pPr>
              <w:spacing w:after="0" w:line="240" w:lineRule="auto"/>
              <w:jc w:val="right"/>
              <w:rPr>
                <w:rFonts w:ascii="Times New Roman" w:eastAsia="Times New Roman" w:hAnsi="Times New Roman" w:cs="Times New Roman"/>
              </w:rPr>
            </w:pPr>
            <w:r w:rsidRPr="008675AD">
              <w:rPr>
                <w:rFonts w:ascii="Times New Roman" w:eastAsia="Times New Roman" w:hAnsi="Times New Roman" w:cs="Times New Roman"/>
              </w:rPr>
              <w:t>7.200.572</w:t>
            </w:r>
          </w:p>
        </w:tc>
        <w:tc>
          <w:tcPr>
            <w:tcW w:w="1701" w:type="dxa"/>
            <w:vAlign w:val="bottom"/>
          </w:tcPr>
          <w:p w14:paraId="7E2907E3" w14:textId="0E8BA9D2" w:rsidR="00131D13" w:rsidRPr="008675AD" w:rsidRDefault="005E6397" w:rsidP="002235D2">
            <w:pPr>
              <w:spacing w:after="0" w:line="240" w:lineRule="auto"/>
              <w:jc w:val="right"/>
              <w:rPr>
                <w:rFonts w:ascii="Times New Roman" w:eastAsia="Times New Roman" w:hAnsi="Times New Roman" w:cs="Times New Roman"/>
              </w:rPr>
            </w:pPr>
            <w:r w:rsidRPr="008675AD">
              <w:rPr>
                <w:rFonts w:ascii="Times New Roman" w:eastAsia="Times New Roman" w:hAnsi="Times New Roman" w:cs="Times New Roman"/>
              </w:rPr>
              <w:t>8.349.298</w:t>
            </w:r>
          </w:p>
        </w:tc>
      </w:tr>
      <w:tr w:rsidR="00131D13" w:rsidRPr="008675AD" w14:paraId="6131188E" w14:textId="77777777" w:rsidTr="002235D2">
        <w:tc>
          <w:tcPr>
            <w:tcW w:w="5387" w:type="dxa"/>
            <w:vAlign w:val="bottom"/>
          </w:tcPr>
          <w:p w14:paraId="094DECC3" w14:textId="77777777" w:rsidR="00131D13" w:rsidRPr="008675AD" w:rsidRDefault="00131D13" w:rsidP="002235D2">
            <w:pPr>
              <w:spacing w:after="0" w:line="240" w:lineRule="auto"/>
              <w:rPr>
                <w:rFonts w:ascii="Times New Roman" w:eastAsia="Times New Roman" w:hAnsi="Times New Roman" w:cs="Times New Roman"/>
              </w:rPr>
            </w:pPr>
          </w:p>
          <w:p w14:paraId="0D80B26F" w14:textId="7E0A12E8" w:rsidR="00131D13" w:rsidRPr="008675AD" w:rsidRDefault="0082278B" w:rsidP="002235D2">
            <w:pPr>
              <w:spacing w:after="0" w:line="240" w:lineRule="auto"/>
              <w:rPr>
                <w:rFonts w:ascii="Times New Roman" w:eastAsia="Times New Roman" w:hAnsi="Times New Roman" w:cs="Times New Roman"/>
              </w:rPr>
            </w:pPr>
            <w:r w:rsidRPr="008675AD">
              <w:rPr>
                <w:rFonts w:ascii="Times New Roman" w:eastAsia="Times New Roman" w:hAnsi="Times New Roman" w:cs="Times New Roman"/>
              </w:rPr>
              <w:t>Prihodi na temelju uporabe vlastitih proizvoda, robe i usluga</w:t>
            </w:r>
          </w:p>
        </w:tc>
        <w:tc>
          <w:tcPr>
            <w:tcW w:w="1701" w:type="dxa"/>
            <w:vAlign w:val="bottom"/>
          </w:tcPr>
          <w:p w14:paraId="1D4A0BA4" w14:textId="5F816803" w:rsidR="00131D13" w:rsidRPr="008675AD" w:rsidRDefault="005E6397" w:rsidP="00166B3C">
            <w:pPr>
              <w:spacing w:after="0" w:line="240" w:lineRule="auto"/>
              <w:jc w:val="right"/>
              <w:rPr>
                <w:rFonts w:ascii="Times New Roman" w:eastAsia="Times New Roman" w:hAnsi="Times New Roman" w:cs="Times New Roman"/>
              </w:rPr>
            </w:pPr>
            <w:r w:rsidRPr="008675AD">
              <w:rPr>
                <w:rFonts w:ascii="Times New Roman" w:eastAsia="Times New Roman" w:hAnsi="Times New Roman" w:cs="Times New Roman"/>
              </w:rPr>
              <w:t>136.272</w:t>
            </w:r>
          </w:p>
        </w:tc>
        <w:tc>
          <w:tcPr>
            <w:tcW w:w="1701" w:type="dxa"/>
            <w:vAlign w:val="bottom"/>
          </w:tcPr>
          <w:p w14:paraId="3CAD58B6" w14:textId="78AFBE5F" w:rsidR="00131D13" w:rsidRPr="008675AD" w:rsidRDefault="005E6397" w:rsidP="00A16F70">
            <w:pPr>
              <w:spacing w:after="0" w:line="240" w:lineRule="auto"/>
              <w:jc w:val="right"/>
              <w:rPr>
                <w:rFonts w:ascii="Times New Roman" w:eastAsia="Times New Roman" w:hAnsi="Times New Roman" w:cs="Times New Roman"/>
              </w:rPr>
            </w:pPr>
            <w:r w:rsidRPr="008675AD">
              <w:rPr>
                <w:rFonts w:ascii="Times New Roman" w:eastAsia="Times New Roman" w:hAnsi="Times New Roman" w:cs="Times New Roman"/>
              </w:rPr>
              <w:t>80.949</w:t>
            </w:r>
          </w:p>
        </w:tc>
      </w:tr>
      <w:tr w:rsidR="001D58F7" w:rsidRPr="008675AD" w14:paraId="261F2626" w14:textId="77777777" w:rsidTr="00DB5243">
        <w:trPr>
          <w:trHeight w:val="432"/>
        </w:trPr>
        <w:tc>
          <w:tcPr>
            <w:tcW w:w="5387" w:type="dxa"/>
            <w:vAlign w:val="bottom"/>
          </w:tcPr>
          <w:p w14:paraId="53E020DA" w14:textId="77777777" w:rsidR="001D58F7" w:rsidRPr="008675AD" w:rsidRDefault="001D58F7" w:rsidP="001D58F7">
            <w:pPr>
              <w:spacing w:after="0" w:line="240" w:lineRule="auto"/>
              <w:rPr>
                <w:rFonts w:ascii="Times New Roman" w:eastAsia="Times New Roman" w:hAnsi="Times New Roman" w:cs="Times New Roman"/>
              </w:rPr>
            </w:pPr>
          </w:p>
          <w:p w14:paraId="3387E2A4" w14:textId="58592FAC" w:rsidR="001D58F7" w:rsidRPr="008675AD" w:rsidRDefault="001D58F7" w:rsidP="001D58F7">
            <w:pPr>
              <w:spacing w:after="0" w:line="240" w:lineRule="auto"/>
              <w:rPr>
                <w:rFonts w:ascii="Times New Roman" w:eastAsia="Times New Roman" w:hAnsi="Times New Roman" w:cs="Times New Roman"/>
                <w:b/>
              </w:rPr>
            </w:pPr>
            <w:r w:rsidRPr="008675AD">
              <w:rPr>
                <w:rFonts w:ascii="Times New Roman" w:eastAsia="Times New Roman" w:hAnsi="Times New Roman" w:cs="Times New Roman"/>
              </w:rPr>
              <w:t>Ostali  prihodi</w:t>
            </w:r>
          </w:p>
        </w:tc>
        <w:tc>
          <w:tcPr>
            <w:tcW w:w="1701" w:type="dxa"/>
            <w:vAlign w:val="bottom"/>
          </w:tcPr>
          <w:p w14:paraId="7F0E8C5C" w14:textId="0A58D5FA" w:rsidR="001D58F7" w:rsidRPr="008675AD" w:rsidRDefault="005E6397" w:rsidP="001D58F7">
            <w:pPr>
              <w:spacing w:after="0" w:line="240" w:lineRule="auto"/>
              <w:jc w:val="right"/>
              <w:rPr>
                <w:rFonts w:ascii="Times New Roman" w:eastAsia="Times New Roman" w:hAnsi="Times New Roman" w:cs="Times New Roman"/>
                <w:b/>
                <w:u w:val="double"/>
              </w:rPr>
            </w:pPr>
            <w:r w:rsidRPr="008675AD">
              <w:rPr>
                <w:rFonts w:ascii="Times New Roman" w:eastAsia="Times New Roman" w:hAnsi="Times New Roman" w:cs="Times New Roman"/>
              </w:rPr>
              <w:t>407.069</w:t>
            </w:r>
          </w:p>
        </w:tc>
        <w:tc>
          <w:tcPr>
            <w:tcW w:w="1701" w:type="dxa"/>
            <w:vAlign w:val="bottom"/>
          </w:tcPr>
          <w:p w14:paraId="60332BAB" w14:textId="26D1C542" w:rsidR="001D58F7" w:rsidRPr="008675AD" w:rsidRDefault="005E6397" w:rsidP="005E6397">
            <w:pPr>
              <w:spacing w:after="0" w:line="240" w:lineRule="auto"/>
              <w:jc w:val="right"/>
              <w:rPr>
                <w:rFonts w:ascii="Times New Roman" w:eastAsia="Times New Roman" w:hAnsi="Times New Roman" w:cs="Times New Roman"/>
                <w:u w:val="double"/>
              </w:rPr>
            </w:pPr>
            <w:r w:rsidRPr="008675AD">
              <w:rPr>
                <w:rFonts w:ascii="Times New Roman" w:eastAsia="Times New Roman" w:hAnsi="Times New Roman" w:cs="Times New Roman"/>
              </w:rPr>
              <w:t>395.316</w:t>
            </w:r>
          </w:p>
        </w:tc>
      </w:tr>
      <w:tr w:rsidR="001D58F7" w:rsidRPr="008675AD" w14:paraId="1D86AD05" w14:textId="77777777" w:rsidTr="00DB5243">
        <w:trPr>
          <w:trHeight w:val="432"/>
        </w:trPr>
        <w:tc>
          <w:tcPr>
            <w:tcW w:w="5387" w:type="dxa"/>
            <w:vAlign w:val="bottom"/>
          </w:tcPr>
          <w:p w14:paraId="0D8FD384" w14:textId="633C1E64" w:rsidR="001D58F7" w:rsidRPr="008675AD" w:rsidRDefault="001D58F7" w:rsidP="001D58F7">
            <w:pPr>
              <w:spacing w:after="0" w:line="240" w:lineRule="auto"/>
              <w:rPr>
                <w:rFonts w:ascii="Times New Roman" w:eastAsia="Times New Roman" w:hAnsi="Times New Roman" w:cs="Times New Roman"/>
                <w:b/>
              </w:rPr>
            </w:pPr>
          </w:p>
        </w:tc>
        <w:tc>
          <w:tcPr>
            <w:tcW w:w="1701" w:type="dxa"/>
            <w:vAlign w:val="bottom"/>
          </w:tcPr>
          <w:p w14:paraId="61B218FC" w14:textId="77777777" w:rsidR="001D58F7" w:rsidRPr="008675AD" w:rsidRDefault="001D58F7" w:rsidP="001D58F7">
            <w:pPr>
              <w:spacing w:after="0" w:line="240" w:lineRule="auto"/>
              <w:jc w:val="right"/>
              <w:rPr>
                <w:rFonts w:ascii="Times New Roman" w:eastAsia="Times New Roman" w:hAnsi="Times New Roman" w:cs="Times New Roman"/>
                <w:b/>
                <w:u w:val="double"/>
              </w:rPr>
            </w:pPr>
          </w:p>
        </w:tc>
        <w:tc>
          <w:tcPr>
            <w:tcW w:w="1701" w:type="dxa"/>
            <w:vAlign w:val="bottom"/>
          </w:tcPr>
          <w:p w14:paraId="087577EE" w14:textId="77777777" w:rsidR="001D58F7" w:rsidRPr="008675AD" w:rsidRDefault="001D58F7" w:rsidP="001D58F7">
            <w:pPr>
              <w:spacing w:after="0" w:line="240" w:lineRule="auto"/>
              <w:jc w:val="right"/>
              <w:rPr>
                <w:rFonts w:ascii="Times New Roman" w:eastAsia="Times New Roman" w:hAnsi="Times New Roman" w:cs="Times New Roman"/>
                <w:b/>
                <w:u w:val="double"/>
              </w:rPr>
            </w:pPr>
          </w:p>
        </w:tc>
      </w:tr>
      <w:tr w:rsidR="001D58F7" w:rsidRPr="008675AD" w14:paraId="6D17E1F1" w14:textId="77777777" w:rsidTr="00E81CB2">
        <w:trPr>
          <w:trHeight w:val="432"/>
        </w:trPr>
        <w:tc>
          <w:tcPr>
            <w:tcW w:w="5387" w:type="dxa"/>
            <w:vAlign w:val="bottom"/>
          </w:tcPr>
          <w:p w14:paraId="1E565FBD" w14:textId="5B4ABBEC" w:rsidR="001D58F7" w:rsidRPr="008675AD" w:rsidRDefault="0082278B" w:rsidP="00E81CB2">
            <w:pPr>
              <w:spacing w:after="0" w:line="240" w:lineRule="auto"/>
              <w:rPr>
                <w:rFonts w:ascii="Times New Roman" w:eastAsia="Times New Roman" w:hAnsi="Times New Roman" w:cs="Times New Roman"/>
                <w:b/>
              </w:rPr>
            </w:pPr>
            <w:r w:rsidRPr="008675AD">
              <w:rPr>
                <w:rFonts w:ascii="Times New Roman" w:eastAsia="Times New Roman" w:hAnsi="Times New Roman" w:cs="Times New Roman"/>
                <w:b/>
              </w:rPr>
              <w:t>Ukupno</w:t>
            </w:r>
          </w:p>
        </w:tc>
        <w:tc>
          <w:tcPr>
            <w:tcW w:w="1701" w:type="dxa"/>
            <w:vAlign w:val="bottom"/>
          </w:tcPr>
          <w:p w14:paraId="72A38DA1" w14:textId="040838FB" w:rsidR="001D58F7" w:rsidRPr="008675AD" w:rsidRDefault="0082278B" w:rsidP="005E6397">
            <w:pPr>
              <w:spacing w:after="0" w:line="240" w:lineRule="auto"/>
              <w:jc w:val="right"/>
              <w:rPr>
                <w:rFonts w:ascii="Times New Roman" w:eastAsia="Times New Roman" w:hAnsi="Times New Roman" w:cs="Times New Roman"/>
                <w:b/>
                <w:u w:val="double"/>
              </w:rPr>
            </w:pPr>
            <w:r w:rsidRPr="008675AD">
              <w:rPr>
                <w:rFonts w:ascii="Times New Roman" w:eastAsia="Times New Roman" w:hAnsi="Times New Roman" w:cs="Times New Roman"/>
                <w:b/>
                <w:u w:val="double"/>
              </w:rPr>
              <w:t>1</w:t>
            </w:r>
            <w:r w:rsidR="005E6397" w:rsidRPr="008675AD">
              <w:rPr>
                <w:rFonts w:ascii="Times New Roman" w:eastAsia="Times New Roman" w:hAnsi="Times New Roman" w:cs="Times New Roman"/>
                <w:b/>
                <w:u w:val="double"/>
              </w:rPr>
              <w:t>3</w:t>
            </w:r>
            <w:r w:rsidRPr="008675AD">
              <w:rPr>
                <w:rFonts w:ascii="Times New Roman" w:eastAsia="Times New Roman" w:hAnsi="Times New Roman" w:cs="Times New Roman"/>
                <w:b/>
                <w:u w:val="double"/>
              </w:rPr>
              <w:t>.</w:t>
            </w:r>
            <w:r w:rsidR="005E6397" w:rsidRPr="008675AD">
              <w:rPr>
                <w:rFonts w:ascii="Times New Roman" w:eastAsia="Times New Roman" w:hAnsi="Times New Roman" w:cs="Times New Roman"/>
                <w:b/>
                <w:u w:val="double"/>
              </w:rPr>
              <w:t>416.940</w:t>
            </w:r>
          </w:p>
        </w:tc>
        <w:tc>
          <w:tcPr>
            <w:tcW w:w="1701" w:type="dxa"/>
            <w:vAlign w:val="bottom"/>
          </w:tcPr>
          <w:p w14:paraId="077D4DA2" w14:textId="5663C128" w:rsidR="001D58F7" w:rsidRPr="008675AD" w:rsidRDefault="0082278B" w:rsidP="005E6397">
            <w:pPr>
              <w:spacing w:after="0" w:line="240" w:lineRule="auto"/>
              <w:jc w:val="right"/>
              <w:rPr>
                <w:rFonts w:ascii="Times New Roman" w:eastAsia="Times New Roman" w:hAnsi="Times New Roman" w:cs="Times New Roman"/>
                <w:b/>
                <w:u w:val="double"/>
              </w:rPr>
            </w:pPr>
            <w:r w:rsidRPr="008675AD">
              <w:rPr>
                <w:rFonts w:ascii="Times New Roman" w:eastAsia="Times New Roman" w:hAnsi="Times New Roman" w:cs="Times New Roman"/>
                <w:b/>
                <w:u w:val="double"/>
              </w:rPr>
              <w:t>1</w:t>
            </w:r>
            <w:r w:rsidR="005E6397" w:rsidRPr="008675AD">
              <w:rPr>
                <w:rFonts w:ascii="Times New Roman" w:eastAsia="Times New Roman" w:hAnsi="Times New Roman" w:cs="Times New Roman"/>
                <w:b/>
                <w:u w:val="double"/>
              </w:rPr>
              <w:t>4</w:t>
            </w:r>
            <w:r w:rsidRPr="008675AD">
              <w:rPr>
                <w:rFonts w:ascii="Times New Roman" w:eastAsia="Times New Roman" w:hAnsi="Times New Roman" w:cs="Times New Roman"/>
                <w:b/>
                <w:u w:val="double"/>
              </w:rPr>
              <w:t>.</w:t>
            </w:r>
            <w:r w:rsidR="005E6397" w:rsidRPr="008675AD">
              <w:rPr>
                <w:rFonts w:ascii="Times New Roman" w:eastAsia="Times New Roman" w:hAnsi="Times New Roman" w:cs="Times New Roman"/>
                <w:b/>
                <w:u w:val="double"/>
              </w:rPr>
              <w:t>831.407</w:t>
            </w:r>
          </w:p>
        </w:tc>
      </w:tr>
    </w:tbl>
    <w:p w14:paraId="14075048" w14:textId="77777777" w:rsidR="00131D13" w:rsidRPr="008675AD" w:rsidRDefault="00131D13" w:rsidP="00131D13">
      <w:pPr>
        <w:autoSpaceDE w:val="0"/>
        <w:autoSpaceDN w:val="0"/>
        <w:adjustRightInd w:val="0"/>
        <w:spacing w:after="0" w:line="240" w:lineRule="auto"/>
        <w:jc w:val="both"/>
        <w:rPr>
          <w:rFonts w:ascii="Times New Roman" w:eastAsia="Calibri" w:hAnsi="Times New Roman" w:cs="Times New Roman"/>
          <w:b/>
          <w:bCs/>
          <w:color w:val="17365D"/>
        </w:rPr>
      </w:pPr>
    </w:p>
    <w:p w14:paraId="184CC02A" w14:textId="77777777" w:rsidR="008675AD" w:rsidRPr="008675AD" w:rsidRDefault="008675AD" w:rsidP="001B4644">
      <w:pPr>
        <w:spacing w:after="0" w:line="276" w:lineRule="auto"/>
        <w:contextualSpacing/>
        <w:jc w:val="both"/>
        <w:rPr>
          <w:rFonts w:ascii="Times New Roman" w:eastAsia="Times New Roman" w:hAnsi="Times New Roman" w:cs="Times New Roman"/>
          <w:b/>
          <w:noProof/>
        </w:rPr>
      </w:pPr>
    </w:p>
    <w:p w14:paraId="0A2E1440" w14:textId="77777777" w:rsidR="001B4644" w:rsidRPr="008675AD" w:rsidRDefault="001B4644" w:rsidP="001B4644">
      <w:pPr>
        <w:spacing w:after="0" w:line="276" w:lineRule="auto"/>
        <w:contextualSpacing/>
        <w:jc w:val="both"/>
        <w:rPr>
          <w:rFonts w:ascii="Times New Roman" w:eastAsia="Times New Roman" w:hAnsi="Times New Roman" w:cs="Times New Roman"/>
          <w:b/>
          <w:noProof/>
        </w:rPr>
      </w:pPr>
      <w:r w:rsidRPr="008675AD">
        <w:rPr>
          <w:rFonts w:ascii="Times New Roman" w:eastAsia="Times New Roman" w:hAnsi="Times New Roman" w:cs="Times New Roman"/>
          <w:b/>
          <w:noProof/>
        </w:rPr>
        <w:t>Poslovni prihodi</w:t>
      </w:r>
    </w:p>
    <w:p w14:paraId="4D3AF069" w14:textId="77777777" w:rsidR="005E6397" w:rsidRPr="008675AD" w:rsidRDefault="005E6397" w:rsidP="005E6397">
      <w:pPr>
        <w:spacing w:after="0" w:line="276" w:lineRule="auto"/>
        <w:jc w:val="both"/>
        <w:rPr>
          <w:rFonts w:ascii="Times New Roman" w:eastAsia="Calibri" w:hAnsi="Times New Roman" w:cs="Times New Roman"/>
          <w:bCs/>
        </w:rPr>
      </w:pPr>
    </w:p>
    <w:p w14:paraId="0AB7E5A1" w14:textId="77777777" w:rsidR="005E6397" w:rsidRPr="005E6397" w:rsidRDefault="005E6397" w:rsidP="005E6397">
      <w:pPr>
        <w:spacing w:after="0" w:line="276" w:lineRule="auto"/>
        <w:jc w:val="both"/>
        <w:rPr>
          <w:rFonts w:ascii="Times New Roman" w:eastAsia="Calibri" w:hAnsi="Times New Roman" w:cs="Times New Roman"/>
          <w:bCs/>
        </w:rPr>
      </w:pPr>
      <w:r w:rsidRPr="005E6397">
        <w:rPr>
          <w:rFonts w:ascii="Times New Roman" w:eastAsia="Calibri" w:hAnsi="Times New Roman" w:cs="Times New Roman"/>
          <w:bCs/>
        </w:rPr>
        <w:t xml:space="preserve">Društvo je tijekom promatranog razdoblja ostvarilo </w:t>
      </w:r>
      <w:r w:rsidRPr="005E6397">
        <w:rPr>
          <w:rFonts w:ascii="Times New Roman" w:eastAsia="Calibri" w:hAnsi="Times New Roman" w:cs="Times New Roman"/>
          <w:b/>
          <w:bCs/>
        </w:rPr>
        <w:t>14.883.000 kn ukupnih prihoda</w:t>
      </w:r>
      <w:r w:rsidRPr="005E6397">
        <w:rPr>
          <w:rFonts w:ascii="Times New Roman" w:eastAsia="Calibri" w:hAnsi="Times New Roman" w:cs="Times New Roman"/>
          <w:bCs/>
        </w:rPr>
        <w:t xml:space="preserve"> te su kao takvi za 11% viši u odnosu na 2021. godinu. </w:t>
      </w:r>
    </w:p>
    <w:p w14:paraId="4BF11838" w14:textId="77777777" w:rsidR="005E6397" w:rsidRPr="005E6397" w:rsidRDefault="005E6397" w:rsidP="005E6397">
      <w:pPr>
        <w:spacing w:after="0" w:line="276" w:lineRule="auto"/>
        <w:jc w:val="both"/>
        <w:rPr>
          <w:rFonts w:ascii="Times New Roman" w:eastAsia="Calibri" w:hAnsi="Times New Roman" w:cs="Times New Roman"/>
          <w:b/>
          <w:bCs/>
          <w:color w:val="17365D"/>
        </w:rPr>
      </w:pPr>
    </w:p>
    <w:p w14:paraId="7B3B082A" w14:textId="3590DB71" w:rsidR="005E6397" w:rsidRPr="005E6397" w:rsidRDefault="005E6397" w:rsidP="005E6397">
      <w:pPr>
        <w:autoSpaceDE w:val="0"/>
        <w:autoSpaceDN w:val="0"/>
        <w:adjustRightInd w:val="0"/>
        <w:spacing w:after="0" w:line="276" w:lineRule="auto"/>
        <w:jc w:val="both"/>
        <w:rPr>
          <w:rFonts w:ascii="Times New Roman" w:eastAsia="Calibri" w:hAnsi="Times New Roman" w:cs="Times New Roman"/>
          <w:bCs/>
        </w:rPr>
      </w:pPr>
      <w:r w:rsidRPr="005E6397">
        <w:rPr>
          <w:rFonts w:ascii="Times New Roman" w:eastAsia="Calibri" w:hAnsi="Times New Roman" w:cs="Times New Roman"/>
          <w:b/>
          <w:bCs/>
        </w:rPr>
        <w:t xml:space="preserve">Poslovni prihodi </w:t>
      </w:r>
      <w:r w:rsidRPr="005E6397">
        <w:rPr>
          <w:rFonts w:ascii="Times New Roman" w:eastAsia="Calibri" w:hAnsi="Times New Roman" w:cs="Times New Roman"/>
          <w:bCs/>
        </w:rPr>
        <w:t>ostvareni su u iznosu od 14.</w:t>
      </w:r>
      <w:r w:rsidRPr="008675AD">
        <w:rPr>
          <w:rFonts w:ascii="Times New Roman" w:eastAsia="Calibri" w:hAnsi="Times New Roman" w:cs="Times New Roman"/>
          <w:bCs/>
        </w:rPr>
        <w:t>831.407</w:t>
      </w:r>
      <w:r w:rsidRPr="005E6397">
        <w:rPr>
          <w:rFonts w:ascii="Times New Roman" w:eastAsia="Calibri" w:hAnsi="Times New Roman" w:cs="Times New Roman"/>
          <w:bCs/>
        </w:rPr>
        <w:t xml:space="preserve"> kn što je za </w:t>
      </w:r>
      <w:r w:rsidRPr="008675AD">
        <w:rPr>
          <w:rFonts w:ascii="Times New Roman" w:eastAsia="Calibri" w:hAnsi="Times New Roman" w:cs="Times New Roman"/>
          <w:bCs/>
        </w:rPr>
        <w:t>11</w:t>
      </w:r>
      <w:r w:rsidRPr="005E6397">
        <w:rPr>
          <w:rFonts w:ascii="Times New Roman" w:eastAsia="Calibri" w:hAnsi="Times New Roman" w:cs="Times New Roman"/>
          <w:bCs/>
        </w:rPr>
        <w:t>% veća u odnosu na prethodnu godinu. Najznačajniji prihodi jesu prihodi od prodaje robe (djelatnost trgovine i davanje grobnih mjesta za korištenje na neodređeno vrijeme) na koje se odnosi udio od 57% poslovnih prihoda, te slijede prihodi od prodaje proizvoda i usluga (pogrebne usluge i održavanje groblja) na koje se odnosi udio od 42% poslovnih prihoda.</w:t>
      </w:r>
    </w:p>
    <w:p w14:paraId="22B51BB6" w14:textId="77777777" w:rsidR="005E6397" w:rsidRPr="005E6397" w:rsidRDefault="005E6397" w:rsidP="005E6397">
      <w:pPr>
        <w:spacing w:after="0" w:line="276" w:lineRule="auto"/>
        <w:jc w:val="both"/>
        <w:rPr>
          <w:rFonts w:ascii="Times New Roman" w:eastAsia="Calibri" w:hAnsi="Times New Roman" w:cs="Times New Roman"/>
          <w:bCs/>
        </w:rPr>
      </w:pPr>
    </w:p>
    <w:p w14:paraId="18F4D0B0" w14:textId="77777777" w:rsidR="005E6397" w:rsidRPr="005E6397" w:rsidRDefault="005E6397" w:rsidP="005E6397">
      <w:pPr>
        <w:spacing w:after="0" w:line="276" w:lineRule="auto"/>
        <w:jc w:val="both"/>
        <w:rPr>
          <w:rFonts w:ascii="Times New Roman" w:eastAsia="Calibri" w:hAnsi="Times New Roman" w:cs="Times New Roman"/>
          <w:bCs/>
        </w:rPr>
      </w:pPr>
      <w:r w:rsidRPr="005E6397">
        <w:rPr>
          <w:rFonts w:ascii="Times New Roman" w:eastAsia="Calibri" w:hAnsi="Times New Roman" w:cs="Times New Roman"/>
          <w:bCs/>
        </w:rPr>
        <w:t>Prihodi od prodaje proizvoda i usluga u visini od 6.005.844 kn bilježe rast od 6% u odnosu na 2021. godinu i u cijelom se iznosu odnose na prihode od pružanja usluga, točnije pogrebnih usluga i usluga održavanja groblja. U 2022. godini bilježimo porast sahrana za 8,5%. Smrtnost u 2022. godini bila je veća, djelom radi prisutnosti  COVID-a.</w:t>
      </w:r>
    </w:p>
    <w:p w14:paraId="02F6B2ED" w14:textId="77777777" w:rsidR="005E6397" w:rsidRPr="005E6397" w:rsidRDefault="005E6397" w:rsidP="005E6397">
      <w:pPr>
        <w:spacing w:after="0" w:line="276" w:lineRule="auto"/>
        <w:jc w:val="both"/>
        <w:rPr>
          <w:rFonts w:ascii="Times New Roman" w:eastAsia="Calibri" w:hAnsi="Times New Roman" w:cs="Times New Roman"/>
          <w:bCs/>
        </w:rPr>
      </w:pPr>
      <w:r w:rsidRPr="005E6397">
        <w:rPr>
          <w:rFonts w:ascii="Times New Roman" w:eastAsia="Calibri" w:hAnsi="Times New Roman" w:cs="Times New Roman"/>
          <w:bCs/>
        </w:rPr>
        <w:t xml:space="preserve">Prihodi od prodaje robe (8.349.298 kn) obuhvaćaju prihode od trgovine (4.703.230 kn) koji bilježe povećanje  od 23% u odnosu prethodnu godinu. Pozicija </w:t>
      </w:r>
      <w:r w:rsidRPr="005E6397">
        <w:rPr>
          <w:rFonts w:ascii="Times New Roman" w:eastAsia="Calibri" w:hAnsi="Times New Roman" w:cs="Times New Roman"/>
          <w:bCs/>
          <w:i/>
        </w:rPr>
        <w:t xml:space="preserve">prihodi od prodaje robe </w:t>
      </w:r>
      <w:r w:rsidRPr="005E6397">
        <w:rPr>
          <w:rFonts w:ascii="Times New Roman" w:eastAsia="Calibri" w:hAnsi="Times New Roman" w:cs="Times New Roman"/>
          <w:bCs/>
        </w:rPr>
        <w:t xml:space="preserve"> uključuje davanje grobnih mjesta za korištenje na neodređeno vrijeme (3.646.068 kn) i bilježi povećanje od 8%  u odnosu na 2021. godinu. U 2022. godine objavljen je natječaj za napuštena grobna mjesta, ostvareno je prihoda u iznosu od 826.674kn. </w:t>
      </w:r>
    </w:p>
    <w:p w14:paraId="29B37B79" w14:textId="77777777" w:rsidR="001B4644" w:rsidRPr="008675AD" w:rsidRDefault="001B4644" w:rsidP="001B4644">
      <w:pPr>
        <w:spacing w:after="0" w:line="276" w:lineRule="auto"/>
        <w:contextualSpacing/>
        <w:jc w:val="both"/>
        <w:rPr>
          <w:rFonts w:ascii="Times New Roman" w:eastAsia="Times New Roman" w:hAnsi="Times New Roman" w:cs="Times New Roman"/>
          <w:noProof/>
          <w:color w:val="FF0000"/>
        </w:rPr>
      </w:pPr>
    </w:p>
    <w:p w14:paraId="2390BC05" w14:textId="180A941D" w:rsidR="00763305" w:rsidRPr="008675AD" w:rsidRDefault="004A7418" w:rsidP="00ED4AED">
      <w:pPr>
        <w:jc w:val="both"/>
        <w:rPr>
          <w:rFonts w:ascii="Times New Roman" w:eastAsia="Times New Roman" w:hAnsi="Times New Roman" w:cs="Times New Roman"/>
          <w:b/>
        </w:rPr>
      </w:pPr>
      <w:r w:rsidRPr="008675AD">
        <w:rPr>
          <w:rFonts w:ascii="Times New Roman" w:eastAsia="Times New Roman" w:hAnsi="Times New Roman" w:cs="Times New Roman"/>
          <w:b/>
        </w:rPr>
        <w:t xml:space="preserve">Bilješka 15. </w:t>
      </w:r>
      <w:r w:rsidR="00763305" w:rsidRPr="008675AD">
        <w:rPr>
          <w:rFonts w:ascii="Times New Roman" w:eastAsia="Times New Roman" w:hAnsi="Times New Roman" w:cs="Times New Roman"/>
          <w:b/>
        </w:rPr>
        <w:t>Ostali poslovni prihodi</w:t>
      </w:r>
    </w:p>
    <w:p w14:paraId="687B5C37" w14:textId="25FDB4D3" w:rsidR="001B4644" w:rsidRPr="008675AD" w:rsidRDefault="001B4644" w:rsidP="00F75C09">
      <w:pPr>
        <w:jc w:val="both"/>
        <w:rPr>
          <w:rFonts w:ascii="Times New Roman" w:eastAsia="Calibri" w:hAnsi="Times New Roman" w:cs="Times New Roman"/>
          <w:bCs/>
          <w:i/>
        </w:rPr>
      </w:pPr>
      <w:r w:rsidRPr="008675AD">
        <w:rPr>
          <w:rFonts w:ascii="Times New Roman" w:eastAsia="Calibri" w:hAnsi="Times New Roman" w:cs="Times New Roman"/>
          <w:b/>
          <w:bCs/>
        </w:rPr>
        <w:t xml:space="preserve">Ostali </w:t>
      </w:r>
      <w:r w:rsidR="0082278B" w:rsidRPr="008675AD">
        <w:rPr>
          <w:rFonts w:ascii="Times New Roman" w:eastAsia="Calibri" w:hAnsi="Times New Roman" w:cs="Times New Roman"/>
          <w:b/>
          <w:bCs/>
        </w:rPr>
        <w:t xml:space="preserve">poslovni </w:t>
      </w:r>
      <w:r w:rsidRPr="008675AD">
        <w:rPr>
          <w:rFonts w:ascii="Times New Roman" w:eastAsia="Calibri" w:hAnsi="Times New Roman" w:cs="Times New Roman"/>
          <w:b/>
          <w:bCs/>
        </w:rPr>
        <w:t>prihodi</w:t>
      </w:r>
      <w:r w:rsidR="00F75C09" w:rsidRPr="008675AD">
        <w:rPr>
          <w:rFonts w:ascii="Times New Roman" w:eastAsia="Calibri" w:hAnsi="Times New Roman" w:cs="Times New Roman"/>
          <w:b/>
          <w:bCs/>
        </w:rPr>
        <w:t xml:space="preserve"> </w:t>
      </w:r>
      <w:r w:rsidR="00F75C09" w:rsidRPr="008675AD">
        <w:rPr>
          <w:rFonts w:ascii="Times New Roman" w:eastAsia="Calibri" w:hAnsi="Times New Roman" w:cs="Times New Roman"/>
          <w:bCs/>
        </w:rPr>
        <w:t xml:space="preserve">u visini od (395.316 kn) podrazumijevaju prihode od prodaje dugotrajne materijalne i nematerijalne imovine – prodaja rashladnog mobilnog uređaja koji je 100% amortiziran (12.000 kn), utvrđenih viškova (31.847 kn), naplaćenih, prethodno otpisanih potraživanja (112.516 kn), te ostale izvanredne prihode (48.661 kn) koji se odnose se na naplatu troškova ovrhe, naplata šteta od osiguranja, </w:t>
      </w:r>
      <w:r w:rsidR="0082278B" w:rsidRPr="008675AD">
        <w:rPr>
          <w:rFonts w:ascii="Times New Roman" w:eastAsia="Calibri" w:hAnsi="Times New Roman" w:cs="Times New Roman"/>
          <w:bCs/>
        </w:rPr>
        <w:t xml:space="preserve"> te prihodi od subvencija (190.29</w:t>
      </w:r>
      <w:r w:rsidR="00F75C09" w:rsidRPr="008675AD">
        <w:rPr>
          <w:rFonts w:ascii="Times New Roman" w:eastAsia="Calibri" w:hAnsi="Times New Roman" w:cs="Times New Roman"/>
          <w:bCs/>
        </w:rPr>
        <w:t>2</w:t>
      </w:r>
      <w:r w:rsidR="0082278B" w:rsidRPr="008675AD">
        <w:rPr>
          <w:rFonts w:ascii="Times New Roman" w:eastAsia="Calibri" w:hAnsi="Times New Roman" w:cs="Times New Roman"/>
          <w:bCs/>
        </w:rPr>
        <w:t xml:space="preserve"> kn)</w:t>
      </w:r>
      <w:r w:rsidRPr="008675AD">
        <w:rPr>
          <w:rFonts w:ascii="Times New Roman" w:eastAsia="Calibri" w:hAnsi="Times New Roman" w:cs="Times New Roman"/>
          <w:bCs/>
        </w:rPr>
        <w:t xml:space="preserve">. </w:t>
      </w:r>
    </w:p>
    <w:p w14:paraId="5F8DA922" w14:textId="77777777" w:rsidR="001B4644" w:rsidRPr="008675AD" w:rsidRDefault="001B4644" w:rsidP="001B4644">
      <w:pPr>
        <w:spacing w:after="0" w:line="276" w:lineRule="auto"/>
        <w:ind w:left="720"/>
        <w:contextualSpacing/>
        <w:jc w:val="both"/>
        <w:rPr>
          <w:rFonts w:ascii="Times New Roman" w:eastAsia="Times New Roman" w:hAnsi="Times New Roman" w:cs="Times New Roman"/>
          <w:noProof/>
        </w:rPr>
      </w:pPr>
    </w:p>
    <w:p w14:paraId="00E6C8E0" w14:textId="007E392E" w:rsidR="00131D13" w:rsidRPr="008675AD" w:rsidRDefault="00033B9F" w:rsidP="008675AD">
      <w:pPr>
        <w:spacing w:after="0" w:line="240" w:lineRule="auto"/>
        <w:jc w:val="right"/>
        <w:rPr>
          <w:rFonts w:ascii="Times New Roman" w:eastAsia="Times New Roman" w:hAnsi="Times New Roman" w:cs="Times New Roman"/>
        </w:rPr>
      </w:pPr>
      <w:r w:rsidRPr="008675AD">
        <w:rPr>
          <w:rFonts w:ascii="Times New Roman" w:eastAsia="Times New Roman" w:hAnsi="Times New Roman" w:cs="Times New Roman"/>
          <w:b/>
        </w:rPr>
        <w:t xml:space="preserve"> </w:t>
      </w:r>
      <w:r w:rsidR="008675AD" w:rsidRPr="008675AD">
        <w:rPr>
          <w:rFonts w:ascii="Times New Roman" w:eastAsia="Times New Roman" w:hAnsi="Times New Roman" w:cs="Times New Roman"/>
        </w:rPr>
        <w:t>11</w:t>
      </w:r>
    </w:p>
    <w:p w14:paraId="30B4E98E" w14:textId="59F5CFFE" w:rsidR="00131D13" w:rsidRPr="008675AD" w:rsidRDefault="00131D13" w:rsidP="00131D13">
      <w:pPr>
        <w:spacing w:after="0" w:line="240" w:lineRule="auto"/>
        <w:rPr>
          <w:rFonts w:ascii="Times New Roman" w:eastAsia="Times New Roman" w:hAnsi="Times New Roman" w:cs="Times New Roman"/>
          <w:b/>
        </w:rPr>
      </w:pPr>
      <w:r w:rsidRPr="008675AD">
        <w:rPr>
          <w:rFonts w:ascii="Times New Roman" w:eastAsia="Times New Roman" w:hAnsi="Times New Roman" w:cs="Times New Roman"/>
          <w:b/>
        </w:rPr>
        <w:lastRenderedPageBreak/>
        <w:t>Bilješka 1</w:t>
      </w:r>
      <w:r w:rsidR="00137795" w:rsidRPr="008675AD">
        <w:rPr>
          <w:rFonts w:ascii="Times New Roman" w:eastAsia="Times New Roman" w:hAnsi="Times New Roman" w:cs="Times New Roman"/>
          <w:b/>
        </w:rPr>
        <w:t>6</w:t>
      </w:r>
      <w:r w:rsidRPr="008675AD">
        <w:rPr>
          <w:rFonts w:ascii="Times New Roman" w:eastAsia="Times New Roman" w:hAnsi="Times New Roman" w:cs="Times New Roman"/>
          <w:b/>
        </w:rPr>
        <w:t>.</w:t>
      </w:r>
      <w:r w:rsidR="00763305" w:rsidRPr="008675AD">
        <w:rPr>
          <w:rFonts w:ascii="Times New Roman" w:eastAsia="Times New Roman" w:hAnsi="Times New Roman" w:cs="Times New Roman"/>
          <w:b/>
        </w:rPr>
        <w:t xml:space="preserve"> </w:t>
      </w:r>
      <w:r w:rsidRPr="008675AD">
        <w:rPr>
          <w:rFonts w:ascii="Times New Roman" w:eastAsia="Times New Roman" w:hAnsi="Times New Roman" w:cs="Times New Roman"/>
          <w:b/>
        </w:rPr>
        <w:t>Troškovi sirovina i materijala</w:t>
      </w:r>
    </w:p>
    <w:p w14:paraId="4B935EE5" w14:textId="77777777" w:rsidR="00763305" w:rsidRPr="008675AD" w:rsidRDefault="00763305" w:rsidP="00131D13">
      <w:pPr>
        <w:spacing w:after="0" w:line="240" w:lineRule="auto"/>
        <w:rPr>
          <w:rFonts w:ascii="Times New Roman" w:eastAsia="Times New Roman" w:hAnsi="Times New Roman" w:cs="Times New Roman"/>
          <w:b/>
        </w:rPr>
      </w:pPr>
    </w:p>
    <w:p w14:paraId="2B4B4E5A" w14:textId="5C9065D3" w:rsidR="00131D13" w:rsidRPr="008675AD" w:rsidRDefault="00131D13" w:rsidP="00131D13">
      <w:pPr>
        <w:spacing w:after="0" w:line="276" w:lineRule="auto"/>
        <w:contextualSpacing/>
        <w:jc w:val="both"/>
        <w:rPr>
          <w:rFonts w:ascii="Times New Roman" w:eastAsia="Calibri" w:hAnsi="Times New Roman" w:cs="Times New Roman"/>
        </w:rPr>
      </w:pPr>
      <w:r w:rsidRPr="008675AD">
        <w:rPr>
          <w:rFonts w:ascii="Times New Roman" w:eastAsia="Calibri" w:hAnsi="Times New Roman" w:cs="Times New Roman"/>
          <w:b/>
          <w:bCs/>
        </w:rPr>
        <w:t>Materijalni troškovi</w:t>
      </w:r>
      <w:r w:rsidRPr="008675AD">
        <w:rPr>
          <w:rFonts w:ascii="Times New Roman" w:eastAsia="Calibri" w:hAnsi="Times New Roman" w:cs="Times New Roman"/>
        </w:rPr>
        <w:t xml:space="preserve"> na kraju 20</w:t>
      </w:r>
      <w:r w:rsidR="00953448" w:rsidRPr="008675AD">
        <w:rPr>
          <w:rFonts w:ascii="Times New Roman" w:eastAsia="Calibri" w:hAnsi="Times New Roman" w:cs="Times New Roman"/>
        </w:rPr>
        <w:t>2</w:t>
      </w:r>
      <w:r w:rsidR="00F75C09" w:rsidRPr="008675AD">
        <w:rPr>
          <w:rFonts w:ascii="Times New Roman" w:eastAsia="Calibri" w:hAnsi="Times New Roman" w:cs="Times New Roman"/>
        </w:rPr>
        <w:t>2</w:t>
      </w:r>
      <w:r w:rsidRPr="008675AD">
        <w:rPr>
          <w:rFonts w:ascii="Times New Roman" w:eastAsia="Calibri" w:hAnsi="Times New Roman" w:cs="Times New Roman"/>
        </w:rPr>
        <w:t xml:space="preserve">. godine iznosili su </w:t>
      </w:r>
      <w:r w:rsidR="003C6929" w:rsidRPr="008675AD">
        <w:rPr>
          <w:rFonts w:ascii="Times New Roman" w:eastAsia="Calibri" w:hAnsi="Times New Roman" w:cs="Times New Roman"/>
        </w:rPr>
        <w:t>7.</w:t>
      </w:r>
      <w:r w:rsidR="00F75C09" w:rsidRPr="008675AD">
        <w:rPr>
          <w:rFonts w:ascii="Times New Roman" w:eastAsia="Calibri" w:hAnsi="Times New Roman" w:cs="Times New Roman"/>
        </w:rPr>
        <w:t>900.680</w:t>
      </w:r>
      <w:r w:rsidRPr="008675AD">
        <w:rPr>
          <w:rFonts w:ascii="Times New Roman" w:eastAsia="Calibri" w:hAnsi="Times New Roman" w:cs="Times New Roman"/>
        </w:rPr>
        <w:t xml:space="preserve"> kn što predstavlja</w:t>
      </w:r>
      <w:r w:rsidR="00953448" w:rsidRPr="008675AD">
        <w:rPr>
          <w:rFonts w:ascii="Times New Roman" w:eastAsia="Calibri" w:hAnsi="Times New Roman" w:cs="Times New Roman"/>
        </w:rPr>
        <w:t xml:space="preserve"> </w:t>
      </w:r>
      <w:r w:rsidR="003C6929" w:rsidRPr="008675AD">
        <w:rPr>
          <w:rFonts w:ascii="Times New Roman" w:eastAsia="Calibri" w:hAnsi="Times New Roman" w:cs="Times New Roman"/>
        </w:rPr>
        <w:t>povećanje</w:t>
      </w:r>
      <w:r w:rsidR="00953448" w:rsidRPr="008675AD">
        <w:rPr>
          <w:rFonts w:ascii="Times New Roman" w:eastAsia="Calibri" w:hAnsi="Times New Roman" w:cs="Times New Roman"/>
        </w:rPr>
        <w:t xml:space="preserve"> </w:t>
      </w:r>
      <w:r w:rsidRPr="008675AD">
        <w:rPr>
          <w:rFonts w:ascii="Times New Roman" w:eastAsia="Calibri" w:hAnsi="Times New Roman" w:cs="Times New Roman"/>
        </w:rPr>
        <w:t xml:space="preserve"> od </w:t>
      </w:r>
      <w:r w:rsidR="003E5ED0" w:rsidRPr="008675AD">
        <w:rPr>
          <w:rFonts w:ascii="Times New Roman" w:eastAsia="Calibri" w:hAnsi="Times New Roman" w:cs="Times New Roman"/>
        </w:rPr>
        <w:t>10</w:t>
      </w:r>
      <w:r w:rsidRPr="008675AD">
        <w:rPr>
          <w:rFonts w:ascii="Times New Roman" w:eastAsia="Calibri" w:hAnsi="Times New Roman" w:cs="Times New Roman"/>
        </w:rPr>
        <w:t xml:space="preserve">%  u odnosu na prethodnu godinu. Troškovi sirovina i materijala </w:t>
      </w:r>
      <w:r w:rsidR="003C6929" w:rsidRPr="008675AD">
        <w:rPr>
          <w:rFonts w:ascii="Times New Roman" w:eastAsia="Calibri" w:hAnsi="Times New Roman" w:cs="Times New Roman"/>
        </w:rPr>
        <w:t>povećani</w:t>
      </w:r>
      <w:r w:rsidR="00953448" w:rsidRPr="008675AD">
        <w:rPr>
          <w:rFonts w:ascii="Times New Roman" w:eastAsia="Calibri" w:hAnsi="Times New Roman" w:cs="Times New Roman"/>
        </w:rPr>
        <w:t xml:space="preserve"> </w:t>
      </w:r>
      <w:r w:rsidRPr="008675AD">
        <w:rPr>
          <w:rFonts w:ascii="Times New Roman" w:eastAsia="Calibri" w:hAnsi="Times New Roman" w:cs="Times New Roman"/>
        </w:rPr>
        <w:t xml:space="preserve">su za </w:t>
      </w:r>
      <w:r w:rsidR="00F75C09" w:rsidRPr="008675AD">
        <w:rPr>
          <w:rFonts w:ascii="Times New Roman" w:eastAsia="Calibri" w:hAnsi="Times New Roman" w:cs="Times New Roman"/>
        </w:rPr>
        <w:t>1</w:t>
      </w:r>
      <w:r w:rsidR="003E5ED0" w:rsidRPr="008675AD">
        <w:rPr>
          <w:rFonts w:ascii="Times New Roman" w:eastAsia="Calibri" w:hAnsi="Times New Roman" w:cs="Times New Roman"/>
        </w:rPr>
        <w:t>0</w:t>
      </w:r>
      <w:r w:rsidRPr="008675AD">
        <w:rPr>
          <w:rFonts w:ascii="Times New Roman" w:eastAsia="Calibri" w:hAnsi="Times New Roman" w:cs="Times New Roman"/>
        </w:rPr>
        <w:t>% u odnosu na 20</w:t>
      </w:r>
      <w:r w:rsidR="003C6929" w:rsidRPr="008675AD">
        <w:rPr>
          <w:rFonts w:ascii="Times New Roman" w:eastAsia="Calibri" w:hAnsi="Times New Roman" w:cs="Times New Roman"/>
        </w:rPr>
        <w:t>2</w:t>
      </w:r>
      <w:r w:rsidR="003E5ED0" w:rsidRPr="008675AD">
        <w:rPr>
          <w:rFonts w:ascii="Times New Roman" w:eastAsia="Calibri" w:hAnsi="Times New Roman" w:cs="Times New Roman"/>
        </w:rPr>
        <w:t>1</w:t>
      </w:r>
      <w:r w:rsidRPr="008675AD">
        <w:rPr>
          <w:rFonts w:ascii="Times New Roman" w:eastAsia="Calibri" w:hAnsi="Times New Roman" w:cs="Times New Roman"/>
        </w:rPr>
        <w:t xml:space="preserve">. godinu. </w:t>
      </w:r>
    </w:p>
    <w:p w14:paraId="03099F17" w14:textId="77777777" w:rsidR="00131D13" w:rsidRPr="008675AD" w:rsidRDefault="00131D13" w:rsidP="00131D13">
      <w:pPr>
        <w:spacing w:after="0" w:line="240" w:lineRule="auto"/>
        <w:rPr>
          <w:rFonts w:ascii="Times New Roman" w:eastAsia="Times New Roman" w:hAnsi="Times New Roman" w:cs="Times New Roman"/>
          <w:b/>
        </w:rPr>
      </w:pPr>
    </w:p>
    <w:p w14:paraId="5717A84A" w14:textId="77777777" w:rsidR="008675AD" w:rsidRPr="008675AD" w:rsidRDefault="008675AD" w:rsidP="00131D13">
      <w:pPr>
        <w:spacing w:after="0" w:line="240" w:lineRule="auto"/>
        <w:rPr>
          <w:rFonts w:ascii="Times New Roman" w:eastAsia="Times New Roman" w:hAnsi="Times New Roman" w:cs="Times New Roman"/>
          <w:b/>
        </w:rPr>
      </w:pPr>
    </w:p>
    <w:p w14:paraId="2328DCA8" w14:textId="77777777" w:rsidR="00131D13" w:rsidRPr="008675AD" w:rsidRDefault="00131D13" w:rsidP="00131D13">
      <w:pPr>
        <w:spacing w:after="0" w:line="240" w:lineRule="auto"/>
        <w:rPr>
          <w:rFonts w:ascii="Times New Roman" w:eastAsia="Times New Roman" w:hAnsi="Times New Roman" w:cs="Times New Roman"/>
          <w:b/>
        </w:rPr>
      </w:pPr>
      <w:r w:rsidRPr="008675AD">
        <w:rPr>
          <w:rFonts w:ascii="Times New Roman" w:eastAsia="Times New Roman" w:hAnsi="Times New Roman" w:cs="Times New Roman"/>
          <w:b/>
        </w:rPr>
        <w:t>Bilješka  1</w:t>
      </w:r>
      <w:r w:rsidR="00137795" w:rsidRPr="008675AD">
        <w:rPr>
          <w:rFonts w:ascii="Times New Roman" w:eastAsia="Times New Roman" w:hAnsi="Times New Roman" w:cs="Times New Roman"/>
          <w:b/>
        </w:rPr>
        <w:t>7</w:t>
      </w:r>
      <w:r w:rsidRPr="008675AD">
        <w:rPr>
          <w:rFonts w:ascii="Times New Roman" w:eastAsia="Times New Roman" w:hAnsi="Times New Roman" w:cs="Times New Roman"/>
          <w:b/>
        </w:rPr>
        <w:t>. Troškovi prodane robe</w:t>
      </w:r>
    </w:p>
    <w:p w14:paraId="71A5EA11" w14:textId="77777777" w:rsidR="00131D13" w:rsidRPr="008675AD" w:rsidRDefault="00131D13" w:rsidP="00131D13">
      <w:pPr>
        <w:spacing w:after="0" w:line="240" w:lineRule="auto"/>
        <w:rPr>
          <w:rFonts w:ascii="Times New Roman" w:eastAsia="Times New Roman" w:hAnsi="Times New Roman" w:cs="Times New Roman"/>
          <w:b/>
        </w:rPr>
      </w:pPr>
    </w:p>
    <w:tbl>
      <w:tblPr>
        <w:tblStyle w:val="GridTable2-Accent3"/>
        <w:tblW w:w="0" w:type="auto"/>
        <w:tblLook w:val="04A0" w:firstRow="1" w:lastRow="0" w:firstColumn="1" w:lastColumn="0" w:noHBand="0" w:noVBand="1"/>
      </w:tblPr>
      <w:tblGrid>
        <w:gridCol w:w="4121"/>
        <w:gridCol w:w="1828"/>
        <w:gridCol w:w="1412"/>
        <w:gridCol w:w="1034"/>
      </w:tblGrid>
      <w:tr w:rsidR="00665E67" w:rsidRPr="008675AD" w14:paraId="104FD042" w14:textId="77777777" w:rsidTr="00485D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1" w:type="dxa"/>
          </w:tcPr>
          <w:p w14:paraId="3697EA5D" w14:textId="1CD82324" w:rsidR="00665E67" w:rsidRPr="008675AD" w:rsidRDefault="00665E67" w:rsidP="00803BE9">
            <w:pPr>
              <w:spacing w:line="276" w:lineRule="auto"/>
              <w:contextualSpacing/>
              <w:rPr>
                <w:rFonts w:ascii="Times New Roman" w:eastAsia="Calibri" w:hAnsi="Times New Roman" w:cs="Times New Roman"/>
                <w:bCs w:val="0"/>
              </w:rPr>
            </w:pPr>
            <w:r w:rsidRPr="008675AD">
              <w:rPr>
                <w:rFonts w:ascii="Times New Roman" w:eastAsia="Calibri" w:hAnsi="Times New Roman" w:cs="Times New Roman"/>
                <w:bCs w:val="0"/>
              </w:rPr>
              <w:t>Naziv pozicije</w:t>
            </w:r>
          </w:p>
        </w:tc>
        <w:tc>
          <w:tcPr>
            <w:tcW w:w="1828" w:type="dxa"/>
          </w:tcPr>
          <w:p w14:paraId="0520F472" w14:textId="4630909F" w:rsidR="00665E67" w:rsidRPr="008675AD" w:rsidRDefault="00665E67" w:rsidP="00F75C09">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8675AD">
              <w:rPr>
                <w:rFonts w:ascii="Times New Roman" w:eastAsia="Calibri" w:hAnsi="Times New Roman" w:cs="Times New Roman"/>
                <w:bCs w:val="0"/>
              </w:rPr>
              <w:t>Stanje na 31.12.20</w:t>
            </w:r>
            <w:r w:rsidR="003C6929" w:rsidRPr="008675AD">
              <w:rPr>
                <w:rFonts w:ascii="Times New Roman" w:eastAsia="Calibri" w:hAnsi="Times New Roman" w:cs="Times New Roman"/>
                <w:bCs w:val="0"/>
              </w:rPr>
              <w:t>2</w:t>
            </w:r>
            <w:r w:rsidR="00F75C09" w:rsidRPr="008675AD">
              <w:rPr>
                <w:rFonts w:ascii="Times New Roman" w:eastAsia="Calibri" w:hAnsi="Times New Roman" w:cs="Times New Roman"/>
                <w:bCs w:val="0"/>
              </w:rPr>
              <w:t>1</w:t>
            </w:r>
            <w:r w:rsidRPr="008675AD">
              <w:rPr>
                <w:rFonts w:ascii="Times New Roman" w:eastAsia="Calibri" w:hAnsi="Times New Roman" w:cs="Times New Roman"/>
                <w:bCs w:val="0"/>
              </w:rPr>
              <w:t>.</w:t>
            </w:r>
          </w:p>
        </w:tc>
        <w:tc>
          <w:tcPr>
            <w:tcW w:w="1412" w:type="dxa"/>
          </w:tcPr>
          <w:p w14:paraId="4547546F" w14:textId="7544D01D" w:rsidR="00665E67" w:rsidRPr="008675AD" w:rsidRDefault="00665E67" w:rsidP="00A64CAE">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8675AD">
              <w:rPr>
                <w:rFonts w:ascii="Times New Roman" w:eastAsia="Calibri" w:hAnsi="Times New Roman" w:cs="Times New Roman"/>
                <w:bCs w:val="0"/>
              </w:rPr>
              <w:t>Stanje</w:t>
            </w:r>
            <w:r w:rsidR="00485D29" w:rsidRPr="008675AD">
              <w:rPr>
                <w:rFonts w:ascii="Times New Roman" w:eastAsia="Calibri" w:hAnsi="Times New Roman" w:cs="Times New Roman"/>
                <w:bCs w:val="0"/>
              </w:rPr>
              <w:t xml:space="preserve"> </w:t>
            </w:r>
            <w:r w:rsidRPr="008675AD">
              <w:rPr>
                <w:rFonts w:ascii="Times New Roman" w:eastAsia="Calibri" w:hAnsi="Times New Roman" w:cs="Times New Roman"/>
                <w:bCs w:val="0"/>
              </w:rPr>
              <w:t>na 31.12.202</w:t>
            </w:r>
            <w:r w:rsidR="00A64CAE" w:rsidRPr="008675AD">
              <w:rPr>
                <w:rFonts w:ascii="Times New Roman" w:eastAsia="Calibri" w:hAnsi="Times New Roman" w:cs="Times New Roman"/>
                <w:bCs w:val="0"/>
              </w:rPr>
              <w:t>2</w:t>
            </w:r>
            <w:r w:rsidRPr="008675AD">
              <w:rPr>
                <w:rFonts w:ascii="Times New Roman" w:eastAsia="Calibri" w:hAnsi="Times New Roman" w:cs="Times New Roman"/>
                <w:bCs w:val="0"/>
              </w:rPr>
              <w:t>.</w:t>
            </w:r>
          </w:p>
        </w:tc>
        <w:tc>
          <w:tcPr>
            <w:tcW w:w="1034" w:type="dxa"/>
          </w:tcPr>
          <w:p w14:paraId="5C7F0781" w14:textId="77777777" w:rsidR="00665E67" w:rsidRPr="008675AD" w:rsidRDefault="00665E67" w:rsidP="00803BE9">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8675AD">
              <w:rPr>
                <w:rFonts w:ascii="Times New Roman" w:eastAsia="Calibri" w:hAnsi="Times New Roman" w:cs="Times New Roman"/>
                <w:bCs w:val="0"/>
              </w:rPr>
              <w:t>IND</w:t>
            </w:r>
          </w:p>
        </w:tc>
      </w:tr>
      <w:tr w:rsidR="00665E67" w:rsidRPr="008675AD" w14:paraId="101FBB7D" w14:textId="77777777" w:rsidTr="00485D2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21" w:type="dxa"/>
          </w:tcPr>
          <w:p w14:paraId="60F53922" w14:textId="0EE0FEB7" w:rsidR="00665E67" w:rsidRPr="008675AD" w:rsidRDefault="00485D29" w:rsidP="00803BE9">
            <w:pPr>
              <w:spacing w:line="276" w:lineRule="auto"/>
              <w:contextualSpacing/>
              <w:rPr>
                <w:rFonts w:ascii="Times New Roman" w:eastAsia="Calibri" w:hAnsi="Times New Roman" w:cs="Times New Roman"/>
                <w:b w:val="0"/>
              </w:rPr>
            </w:pPr>
            <w:r w:rsidRPr="008675AD">
              <w:rPr>
                <w:rFonts w:ascii="Times New Roman" w:eastAsia="Calibri" w:hAnsi="Times New Roman" w:cs="Times New Roman"/>
                <w:b w:val="0"/>
              </w:rPr>
              <w:t>Trošak prodane robe</w:t>
            </w:r>
          </w:p>
        </w:tc>
        <w:tc>
          <w:tcPr>
            <w:tcW w:w="1828" w:type="dxa"/>
          </w:tcPr>
          <w:p w14:paraId="3A9DC04B" w14:textId="66F4B6AD" w:rsidR="00665E67" w:rsidRPr="008675AD" w:rsidRDefault="003E5ED0" w:rsidP="00F75C09">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4.252.172</w:t>
            </w:r>
          </w:p>
        </w:tc>
        <w:tc>
          <w:tcPr>
            <w:tcW w:w="1412" w:type="dxa"/>
          </w:tcPr>
          <w:p w14:paraId="50E6C926" w14:textId="09A2863E" w:rsidR="00665E67" w:rsidRPr="008675AD" w:rsidRDefault="003E5ED0" w:rsidP="00F75C09">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4.313.736</w:t>
            </w:r>
          </w:p>
        </w:tc>
        <w:tc>
          <w:tcPr>
            <w:tcW w:w="1034" w:type="dxa"/>
          </w:tcPr>
          <w:p w14:paraId="40BF90B8" w14:textId="3F4CB665" w:rsidR="00665E67" w:rsidRPr="008675AD" w:rsidRDefault="003E5ED0" w:rsidP="00803BE9">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101</w:t>
            </w:r>
          </w:p>
        </w:tc>
      </w:tr>
    </w:tbl>
    <w:p w14:paraId="6C1907A5" w14:textId="77777777" w:rsidR="00665E67" w:rsidRPr="008675AD" w:rsidRDefault="00665E67" w:rsidP="00131D13">
      <w:pPr>
        <w:spacing w:after="0" w:line="276" w:lineRule="auto"/>
        <w:contextualSpacing/>
        <w:jc w:val="both"/>
        <w:rPr>
          <w:rFonts w:ascii="Times New Roman" w:eastAsia="Calibri" w:hAnsi="Times New Roman" w:cs="Times New Roman"/>
        </w:rPr>
      </w:pPr>
    </w:p>
    <w:p w14:paraId="1FDD1242" w14:textId="1B05369C" w:rsidR="00131D13" w:rsidRPr="008675AD" w:rsidRDefault="00131D13" w:rsidP="00131D13">
      <w:pPr>
        <w:spacing w:after="0" w:line="276" w:lineRule="auto"/>
        <w:contextualSpacing/>
        <w:jc w:val="both"/>
        <w:rPr>
          <w:rFonts w:ascii="Times New Roman" w:eastAsia="Calibri" w:hAnsi="Times New Roman" w:cs="Times New Roman"/>
        </w:rPr>
      </w:pPr>
      <w:r w:rsidRPr="008675AD">
        <w:rPr>
          <w:rFonts w:ascii="Times New Roman" w:eastAsia="Calibri" w:hAnsi="Times New Roman" w:cs="Times New Roman"/>
        </w:rPr>
        <w:t>Troš</w:t>
      </w:r>
      <w:r w:rsidR="003159C9" w:rsidRPr="008675AD">
        <w:rPr>
          <w:rFonts w:ascii="Times New Roman" w:eastAsia="Calibri" w:hAnsi="Times New Roman" w:cs="Times New Roman"/>
        </w:rPr>
        <w:t>ak</w:t>
      </w:r>
      <w:r w:rsidRPr="008675AD">
        <w:rPr>
          <w:rFonts w:ascii="Times New Roman" w:eastAsia="Calibri" w:hAnsi="Times New Roman" w:cs="Times New Roman"/>
        </w:rPr>
        <w:t xml:space="preserve"> nabave prodane robe </w:t>
      </w:r>
      <w:r w:rsidR="003C6929" w:rsidRPr="008675AD">
        <w:rPr>
          <w:rFonts w:ascii="Times New Roman" w:eastAsia="Calibri" w:hAnsi="Times New Roman" w:cs="Times New Roman"/>
        </w:rPr>
        <w:t>povećan</w:t>
      </w:r>
      <w:r w:rsidR="003159C9" w:rsidRPr="008675AD">
        <w:rPr>
          <w:rFonts w:ascii="Times New Roman" w:eastAsia="Calibri" w:hAnsi="Times New Roman" w:cs="Times New Roman"/>
        </w:rPr>
        <w:t xml:space="preserve"> je</w:t>
      </w:r>
      <w:r w:rsidRPr="008675AD">
        <w:rPr>
          <w:rFonts w:ascii="Times New Roman" w:eastAsia="Calibri" w:hAnsi="Times New Roman" w:cs="Times New Roman"/>
        </w:rPr>
        <w:t xml:space="preserve"> u odnosu na 20</w:t>
      </w:r>
      <w:r w:rsidR="003C6929" w:rsidRPr="008675AD">
        <w:rPr>
          <w:rFonts w:ascii="Times New Roman" w:eastAsia="Calibri" w:hAnsi="Times New Roman" w:cs="Times New Roman"/>
        </w:rPr>
        <w:t>2</w:t>
      </w:r>
      <w:r w:rsidR="003E5ED0" w:rsidRPr="008675AD">
        <w:rPr>
          <w:rFonts w:ascii="Times New Roman" w:eastAsia="Calibri" w:hAnsi="Times New Roman" w:cs="Times New Roman"/>
        </w:rPr>
        <w:t>1</w:t>
      </w:r>
      <w:r w:rsidRPr="008675AD">
        <w:rPr>
          <w:rFonts w:ascii="Times New Roman" w:eastAsia="Calibri" w:hAnsi="Times New Roman" w:cs="Times New Roman"/>
        </w:rPr>
        <w:t xml:space="preserve">. godinu </w:t>
      </w:r>
      <w:r w:rsidR="003159C9" w:rsidRPr="008675AD">
        <w:rPr>
          <w:rFonts w:ascii="Times New Roman" w:eastAsia="Calibri" w:hAnsi="Times New Roman" w:cs="Times New Roman"/>
        </w:rPr>
        <w:t xml:space="preserve">za </w:t>
      </w:r>
      <w:r w:rsidR="003C6929" w:rsidRPr="008675AD">
        <w:rPr>
          <w:rFonts w:ascii="Times New Roman" w:eastAsia="Calibri" w:hAnsi="Times New Roman" w:cs="Times New Roman"/>
        </w:rPr>
        <w:t>1</w:t>
      </w:r>
      <w:r w:rsidR="003159C9" w:rsidRPr="008675AD">
        <w:rPr>
          <w:rFonts w:ascii="Times New Roman" w:eastAsia="Calibri" w:hAnsi="Times New Roman" w:cs="Times New Roman"/>
        </w:rPr>
        <w:t>%</w:t>
      </w:r>
      <w:r w:rsidR="00953448" w:rsidRPr="008675AD">
        <w:rPr>
          <w:rFonts w:ascii="Times New Roman" w:eastAsia="Calibri" w:hAnsi="Times New Roman" w:cs="Times New Roman"/>
        </w:rPr>
        <w:t xml:space="preserve"> </w:t>
      </w:r>
      <w:r w:rsidRPr="008675AD">
        <w:rPr>
          <w:rFonts w:ascii="Times New Roman" w:eastAsia="Calibri" w:hAnsi="Times New Roman" w:cs="Times New Roman"/>
        </w:rPr>
        <w:t xml:space="preserve"> razlogom </w:t>
      </w:r>
      <w:r w:rsidR="003C6929" w:rsidRPr="008675AD">
        <w:rPr>
          <w:rFonts w:ascii="Times New Roman" w:eastAsia="Calibri" w:hAnsi="Times New Roman" w:cs="Times New Roman"/>
        </w:rPr>
        <w:t>povećanja</w:t>
      </w:r>
      <w:r w:rsidR="00953448" w:rsidRPr="008675AD">
        <w:rPr>
          <w:rFonts w:ascii="Times New Roman" w:eastAsia="Calibri" w:hAnsi="Times New Roman" w:cs="Times New Roman"/>
        </w:rPr>
        <w:t xml:space="preserve"> nabave robe u trgovini </w:t>
      </w:r>
      <w:r w:rsidR="00FD2DB5" w:rsidRPr="008675AD">
        <w:rPr>
          <w:rFonts w:ascii="Times New Roman" w:eastAsia="Calibri" w:hAnsi="Times New Roman" w:cs="Times New Roman"/>
        </w:rPr>
        <w:t xml:space="preserve">u </w:t>
      </w:r>
      <w:r w:rsidR="003C6929" w:rsidRPr="008675AD">
        <w:rPr>
          <w:rFonts w:ascii="Times New Roman" w:eastAsia="Calibri" w:hAnsi="Times New Roman" w:cs="Times New Roman"/>
        </w:rPr>
        <w:t>odnosu na 20</w:t>
      </w:r>
      <w:r w:rsidR="006005B4" w:rsidRPr="008675AD">
        <w:rPr>
          <w:rFonts w:ascii="Times New Roman" w:eastAsia="Calibri" w:hAnsi="Times New Roman" w:cs="Times New Roman"/>
        </w:rPr>
        <w:t>2</w:t>
      </w:r>
      <w:r w:rsidR="003E5ED0" w:rsidRPr="008675AD">
        <w:rPr>
          <w:rFonts w:ascii="Times New Roman" w:eastAsia="Calibri" w:hAnsi="Times New Roman" w:cs="Times New Roman"/>
        </w:rPr>
        <w:t>1</w:t>
      </w:r>
      <w:r w:rsidR="003C6929" w:rsidRPr="008675AD">
        <w:rPr>
          <w:rFonts w:ascii="Times New Roman" w:eastAsia="Calibri" w:hAnsi="Times New Roman" w:cs="Times New Roman"/>
        </w:rPr>
        <w:t xml:space="preserve">. </w:t>
      </w:r>
      <w:r w:rsidR="003E5ED0" w:rsidRPr="008675AD">
        <w:rPr>
          <w:rFonts w:ascii="Times New Roman" w:eastAsia="Calibri" w:hAnsi="Times New Roman" w:cs="Times New Roman"/>
        </w:rPr>
        <w:t>zbog većih troškova nabave prodane robe (prodanih grobnih mjesta i prodaje u trgovini).</w:t>
      </w:r>
    </w:p>
    <w:p w14:paraId="6FAC42A4" w14:textId="77777777" w:rsidR="00763305" w:rsidRPr="008675AD" w:rsidRDefault="00763305" w:rsidP="00131D13">
      <w:pPr>
        <w:spacing w:after="0" w:line="240" w:lineRule="auto"/>
        <w:rPr>
          <w:rFonts w:ascii="Times New Roman" w:eastAsia="Times New Roman" w:hAnsi="Times New Roman" w:cs="Times New Roman"/>
          <w:b/>
        </w:rPr>
      </w:pPr>
    </w:p>
    <w:p w14:paraId="6B84A524" w14:textId="22A961BF" w:rsidR="004702BB" w:rsidRPr="008675AD" w:rsidRDefault="00131D13" w:rsidP="00131D13">
      <w:pPr>
        <w:spacing w:after="0" w:line="240" w:lineRule="auto"/>
        <w:rPr>
          <w:rFonts w:ascii="Times New Roman" w:eastAsia="Times New Roman" w:hAnsi="Times New Roman" w:cs="Times New Roman"/>
        </w:rPr>
      </w:pPr>
      <w:r w:rsidRPr="008675AD">
        <w:rPr>
          <w:rFonts w:ascii="Times New Roman" w:eastAsia="Times New Roman" w:hAnsi="Times New Roman" w:cs="Times New Roman"/>
          <w:b/>
        </w:rPr>
        <w:tab/>
      </w:r>
      <w:r w:rsidRPr="008675AD">
        <w:rPr>
          <w:rFonts w:ascii="Times New Roman" w:eastAsia="Times New Roman" w:hAnsi="Times New Roman" w:cs="Times New Roman"/>
          <w:b/>
        </w:rPr>
        <w:tab/>
      </w:r>
      <w:r w:rsidRPr="008675AD">
        <w:rPr>
          <w:rFonts w:ascii="Times New Roman" w:eastAsia="Times New Roman" w:hAnsi="Times New Roman" w:cs="Times New Roman"/>
          <w:b/>
        </w:rPr>
        <w:tab/>
      </w:r>
      <w:r w:rsidRPr="008675AD">
        <w:rPr>
          <w:rFonts w:ascii="Times New Roman" w:eastAsia="Times New Roman" w:hAnsi="Times New Roman" w:cs="Times New Roman"/>
          <w:b/>
        </w:rPr>
        <w:tab/>
      </w:r>
      <w:r w:rsidRPr="008675AD">
        <w:rPr>
          <w:rFonts w:ascii="Times New Roman" w:eastAsia="Times New Roman" w:hAnsi="Times New Roman" w:cs="Times New Roman"/>
          <w:b/>
        </w:rPr>
        <w:tab/>
      </w:r>
      <w:r w:rsidRPr="008675AD">
        <w:rPr>
          <w:rFonts w:ascii="Times New Roman" w:eastAsia="Times New Roman" w:hAnsi="Times New Roman" w:cs="Times New Roman"/>
          <w:b/>
        </w:rPr>
        <w:tab/>
      </w:r>
      <w:r w:rsidRPr="008675AD">
        <w:rPr>
          <w:rFonts w:ascii="Times New Roman" w:eastAsia="Times New Roman" w:hAnsi="Times New Roman" w:cs="Times New Roman"/>
          <w:b/>
        </w:rPr>
        <w:tab/>
      </w:r>
      <w:r w:rsidRPr="008675AD">
        <w:rPr>
          <w:rFonts w:ascii="Times New Roman" w:eastAsia="Times New Roman" w:hAnsi="Times New Roman" w:cs="Times New Roman"/>
        </w:rPr>
        <w:t xml:space="preserve">   </w:t>
      </w:r>
    </w:p>
    <w:p w14:paraId="107E9D3C" w14:textId="77777777" w:rsidR="003E28E9" w:rsidRPr="008675AD" w:rsidRDefault="003E28E9" w:rsidP="00131D13">
      <w:pPr>
        <w:spacing w:after="0" w:line="240" w:lineRule="auto"/>
        <w:rPr>
          <w:rFonts w:ascii="Times New Roman" w:eastAsia="Times New Roman" w:hAnsi="Times New Roman" w:cs="Times New Roman"/>
          <w:b/>
        </w:rPr>
      </w:pPr>
    </w:p>
    <w:p w14:paraId="7F122113" w14:textId="5AC0565B" w:rsidR="00131D13" w:rsidRPr="008675AD" w:rsidRDefault="00131D13" w:rsidP="00131D13">
      <w:pPr>
        <w:spacing w:after="0" w:line="240" w:lineRule="auto"/>
        <w:rPr>
          <w:rFonts w:ascii="Times New Roman" w:eastAsia="Times New Roman" w:hAnsi="Times New Roman" w:cs="Times New Roman"/>
          <w:b/>
        </w:rPr>
      </w:pPr>
      <w:r w:rsidRPr="008675AD">
        <w:rPr>
          <w:rFonts w:ascii="Times New Roman" w:eastAsia="Times New Roman" w:hAnsi="Times New Roman" w:cs="Times New Roman"/>
          <w:b/>
        </w:rPr>
        <w:t>Bilješka 1</w:t>
      </w:r>
      <w:r w:rsidR="00137795" w:rsidRPr="008675AD">
        <w:rPr>
          <w:rFonts w:ascii="Times New Roman" w:eastAsia="Times New Roman" w:hAnsi="Times New Roman" w:cs="Times New Roman"/>
          <w:b/>
        </w:rPr>
        <w:t>8</w:t>
      </w:r>
      <w:r w:rsidRPr="008675AD">
        <w:rPr>
          <w:rFonts w:ascii="Times New Roman" w:eastAsia="Times New Roman" w:hAnsi="Times New Roman" w:cs="Times New Roman"/>
          <w:b/>
        </w:rPr>
        <w:t>. Ostali vanjski troškovi</w:t>
      </w:r>
    </w:p>
    <w:p w14:paraId="758BD175" w14:textId="77777777" w:rsidR="00131D13" w:rsidRPr="008675AD" w:rsidRDefault="00131D13" w:rsidP="00131D13">
      <w:pPr>
        <w:spacing w:after="0" w:line="240" w:lineRule="auto"/>
        <w:rPr>
          <w:rFonts w:ascii="Times New Roman" w:eastAsia="Times New Roman" w:hAnsi="Times New Roman" w:cs="Times New Roman"/>
        </w:rPr>
      </w:pPr>
    </w:p>
    <w:p w14:paraId="0FEF6394" w14:textId="6DB8D84B" w:rsidR="00131D13" w:rsidRPr="008675AD" w:rsidRDefault="00131D13" w:rsidP="00131D13">
      <w:pPr>
        <w:spacing w:after="0" w:line="240" w:lineRule="auto"/>
        <w:rPr>
          <w:rFonts w:ascii="Times New Roman" w:eastAsia="Times New Roman" w:hAnsi="Times New Roman" w:cs="Times New Roman"/>
        </w:rPr>
      </w:pPr>
      <w:r w:rsidRPr="008675AD">
        <w:rPr>
          <w:rFonts w:ascii="Times New Roman" w:eastAsia="Times New Roman" w:hAnsi="Times New Roman" w:cs="Times New Roman"/>
          <w:b/>
          <w:bCs/>
        </w:rPr>
        <w:t>Ostali vanjski troškovi</w:t>
      </w:r>
      <w:r w:rsidRPr="008675AD">
        <w:rPr>
          <w:rFonts w:ascii="Times New Roman" w:eastAsia="Times New Roman" w:hAnsi="Times New Roman" w:cs="Times New Roman"/>
        </w:rPr>
        <w:t xml:space="preserve"> iznose u 20</w:t>
      </w:r>
      <w:r w:rsidR="008C1B1B" w:rsidRPr="008675AD">
        <w:rPr>
          <w:rFonts w:ascii="Times New Roman" w:eastAsia="Times New Roman" w:hAnsi="Times New Roman" w:cs="Times New Roman"/>
        </w:rPr>
        <w:t>2</w:t>
      </w:r>
      <w:r w:rsidR="003E5ED0" w:rsidRPr="008675AD">
        <w:rPr>
          <w:rFonts w:ascii="Times New Roman" w:eastAsia="Times New Roman" w:hAnsi="Times New Roman" w:cs="Times New Roman"/>
        </w:rPr>
        <w:t>2</w:t>
      </w:r>
      <w:r w:rsidRPr="008675AD">
        <w:rPr>
          <w:rFonts w:ascii="Times New Roman" w:eastAsia="Times New Roman" w:hAnsi="Times New Roman" w:cs="Times New Roman"/>
        </w:rPr>
        <w:t>. godini  1.</w:t>
      </w:r>
      <w:r w:rsidR="003E5ED0" w:rsidRPr="008675AD">
        <w:rPr>
          <w:rFonts w:ascii="Times New Roman" w:eastAsia="Times New Roman" w:hAnsi="Times New Roman" w:cs="Times New Roman"/>
        </w:rPr>
        <w:t>981.869</w:t>
      </w:r>
      <w:r w:rsidRPr="008675AD">
        <w:rPr>
          <w:rFonts w:ascii="Times New Roman" w:eastAsia="Times New Roman" w:hAnsi="Times New Roman" w:cs="Times New Roman"/>
        </w:rPr>
        <w:t xml:space="preserve"> kuna, sljedeće strukture</w:t>
      </w:r>
    </w:p>
    <w:p w14:paraId="78649F3B" w14:textId="77777777" w:rsidR="00485D29" w:rsidRPr="008675AD" w:rsidRDefault="00485D29" w:rsidP="00131D13">
      <w:pPr>
        <w:spacing w:after="0" w:line="240" w:lineRule="auto"/>
        <w:rPr>
          <w:rFonts w:ascii="Times New Roman" w:eastAsia="Times New Roman" w:hAnsi="Times New Roman" w:cs="Times New Roman"/>
        </w:rPr>
      </w:pPr>
    </w:p>
    <w:tbl>
      <w:tblPr>
        <w:tblStyle w:val="GridTable2-Accent3"/>
        <w:tblW w:w="0" w:type="auto"/>
        <w:tblLook w:val="04A0" w:firstRow="1" w:lastRow="0" w:firstColumn="1" w:lastColumn="0" w:noHBand="0" w:noVBand="1"/>
      </w:tblPr>
      <w:tblGrid>
        <w:gridCol w:w="4253"/>
        <w:gridCol w:w="1696"/>
        <w:gridCol w:w="1564"/>
        <w:gridCol w:w="882"/>
      </w:tblGrid>
      <w:tr w:rsidR="00485D29" w:rsidRPr="008675AD" w14:paraId="1CEB1ACA" w14:textId="77777777" w:rsidTr="00EB3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17D7DD3E" w14:textId="0A7A2DC8" w:rsidR="00485D29" w:rsidRPr="008675AD" w:rsidRDefault="00485D29" w:rsidP="00803BE9">
            <w:pPr>
              <w:spacing w:line="276" w:lineRule="auto"/>
              <w:contextualSpacing/>
              <w:rPr>
                <w:rFonts w:ascii="Times New Roman" w:eastAsia="Calibri" w:hAnsi="Times New Roman" w:cs="Times New Roman"/>
                <w:bCs w:val="0"/>
              </w:rPr>
            </w:pPr>
            <w:r w:rsidRPr="008675AD">
              <w:rPr>
                <w:rFonts w:ascii="Times New Roman" w:eastAsia="Calibri" w:hAnsi="Times New Roman" w:cs="Times New Roman"/>
                <w:bCs w:val="0"/>
              </w:rPr>
              <w:t>Naziv pozicije</w:t>
            </w:r>
          </w:p>
        </w:tc>
        <w:tc>
          <w:tcPr>
            <w:tcW w:w="1696" w:type="dxa"/>
          </w:tcPr>
          <w:p w14:paraId="330412E7" w14:textId="50B0B8AA" w:rsidR="00485D29" w:rsidRPr="008675AD" w:rsidRDefault="00485D29" w:rsidP="003E5ED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8675AD">
              <w:rPr>
                <w:rFonts w:ascii="Times New Roman" w:eastAsia="Calibri" w:hAnsi="Times New Roman" w:cs="Times New Roman"/>
                <w:bCs w:val="0"/>
              </w:rPr>
              <w:t>Stanje na 31.12.20</w:t>
            </w:r>
            <w:r w:rsidR="00E57841" w:rsidRPr="008675AD">
              <w:rPr>
                <w:rFonts w:ascii="Times New Roman" w:eastAsia="Calibri" w:hAnsi="Times New Roman" w:cs="Times New Roman"/>
                <w:bCs w:val="0"/>
              </w:rPr>
              <w:t>2</w:t>
            </w:r>
            <w:r w:rsidR="003E5ED0" w:rsidRPr="008675AD">
              <w:rPr>
                <w:rFonts w:ascii="Times New Roman" w:eastAsia="Calibri" w:hAnsi="Times New Roman" w:cs="Times New Roman"/>
                <w:bCs w:val="0"/>
              </w:rPr>
              <w:t>1</w:t>
            </w:r>
            <w:r w:rsidRPr="008675AD">
              <w:rPr>
                <w:rFonts w:ascii="Times New Roman" w:eastAsia="Calibri" w:hAnsi="Times New Roman" w:cs="Times New Roman"/>
                <w:bCs w:val="0"/>
              </w:rPr>
              <w:t>.</w:t>
            </w:r>
          </w:p>
        </w:tc>
        <w:tc>
          <w:tcPr>
            <w:tcW w:w="1564" w:type="dxa"/>
          </w:tcPr>
          <w:p w14:paraId="007AD019" w14:textId="1A4766C0" w:rsidR="00485D29" w:rsidRPr="008675AD" w:rsidRDefault="00485D29" w:rsidP="009B646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8675AD">
              <w:rPr>
                <w:rFonts w:ascii="Times New Roman" w:eastAsia="Calibri" w:hAnsi="Times New Roman" w:cs="Times New Roman"/>
                <w:bCs w:val="0"/>
              </w:rPr>
              <w:t>Stanje na 31.12.202</w:t>
            </w:r>
            <w:r w:rsidR="009B6467" w:rsidRPr="008675AD">
              <w:rPr>
                <w:rFonts w:ascii="Times New Roman" w:eastAsia="Calibri" w:hAnsi="Times New Roman" w:cs="Times New Roman"/>
                <w:bCs w:val="0"/>
              </w:rPr>
              <w:t>2</w:t>
            </w:r>
            <w:r w:rsidRPr="008675AD">
              <w:rPr>
                <w:rFonts w:ascii="Times New Roman" w:eastAsia="Calibri" w:hAnsi="Times New Roman" w:cs="Times New Roman"/>
                <w:bCs w:val="0"/>
              </w:rPr>
              <w:t>.</w:t>
            </w:r>
          </w:p>
        </w:tc>
        <w:tc>
          <w:tcPr>
            <w:tcW w:w="882" w:type="dxa"/>
          </w:tcPr>
          <w:p w14:paraId="028E01E3" w14:textId="77777777" w:rsidR="00485D29" w:rsidRPr="008675AD" w:rsidRDefault="00485D29" w:rsidP="00803BE9">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8675AD">
              <w:rPr>
                <w:rFonts w:ascii="Times New Roman" w:eastAsia="Calibri" w:hAnsi="Times New Roman" w:cs="Times New Roman"/>
                <w:bCs w:val="0"/>
              </w:rPr>
              <w:t>IND</w:t>
            </w:r>
          </w:p>
        </w:tc>
      </w:tr>
      <w:tr w:rsidR="003E5ED0" w:rsidRPr="008675AD" w14:paraId="4AB4C809"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026F74A3" w14:textId="30D80649" w:rsidR="003E5ED0" w:rsidRPr="008675AD" w:rsidRDefault="003E5ED0" w:rsidP="003E5ED0">
            <w:pPr>
              <w:spacing w:line="276" w:lineRule="auto"/>
              <w:contextualSpacing/>
              <w:rPr>
                <w:rFonts w:ascii="Times New Roman" w:eastAsia="Calibri" w:hAnsi="Times New Roman" w:cs="Times New Roman"/>
                <w:b w:val="0"/>
              </w:rPr>
            </w:pPr>
            <w:r w:rsidRPr="008675AD">
              <w:rPr>
                <w:rFonts w:ascii="Times New Roman" w:eastAsia="Calibri" w:hAnsi="Times New Roman" w:cs="Times New Roman"/>
                <w:b w:val="0"/>
              </w:rPr>
              <w:t>Troškovi prijevoza i telekomunikacije</w:t>
            </w:r>
          </w:p>
        </w:tc>
        <w:tc>
          <w:tcPr>
            <w:tcW w:w="1696" w:type="dxa"/>
          </w:tcPr>
          <w:p w14:paraId="08DA53B8" w14:textId="2DEC7517" w:rsidR="003E5ED0" w:rsidRPr="008675AD" w:rsidRDefault="003E5ED0"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130.267</w:t>
            </w:r>
          </w:p>
        </w:tc>
        <w:tc>
          <w:tcPr>
            <w:tcW w:w="1564" w:type="dxa"/>
          </w:tcPr>
          <w:p w14:paraId="3ACA620C" w14:textId="150BAFE6" w:rsidR="003E5ED0" w:rsidRPr="008675AD" w:rsidRDefault="009B6467"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146.381</w:t>
            </w:r>
          </w:p>
        </w:tc>
        <w:tc>
          <w:tcPr>
            <w:tcW w:w="882" w:type="dxa"/>
          </w:tcPr>
          <w:p w14:paraId="01202EEC" w14:textId="0D25394E" w:rsidR="003E5ED0" w:rsidRPr="008675AD" w:rsidRDefault="009B6467"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112</w:t>
            </w:r>
          </w:p>
        </w:tc>
      </w:tr>
      <w:tr w:rsidR="003E5ED0" w:rsidRPr="008675AD" w14:paraId="7AB8D8FD"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146AD2DF" w14:textId="6C564119" w:rsidR="003E5ED0" w:rsidRPr="008675AD" w:rsidRDefault="003E5ED0" w:rsidP="003E5ED0">
            <w:pPr>
              <w:spacing w:line="276" w:lineRule="auto"/>
              <w:contextualSpacing/>
              <w:rPr>
                <w:rFonts w:ascii="Times New Roman" w:eastAsia="Calibri" w:hAnsi="Times New Roman" w:cs="Times New Roman"/>
                <w:b w:val="0"/>
              </w:rPr>
            </w:pPr>
            <w:r w:rsidRPr="008675AD">
              <w:rPr>
                <w:rFonts w:ascii="Times New Roman" w:eastAsia="Calibri" w:hAnsi="Times New Roman" w:cs="Times New Roman"/>
                <w:b w:val="0"/>
              </w:rPr>
              <w:t>Troškovi vanjskih usluga pri izradi proizvoda</w:t>
            </w:r>
          </w:p>
        </w:tc>
        <w:tc>
          <w:tcPr>
            <w:tcW w:w="1696" w:type="dxa"/>
          </w:tcPr>
          <w:p w14:paraId="61286C88" w14:textId="6354B72A" w:rsidR="003E5ED0" w:rsidRPr="008675AD" w:rsidRDefault="003E5ED0"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44.206</w:t>
            </w:r>
          </w:p>
        </w:tc>
        <w:tc>
          <w:tcPr>
            <w:tcW w:w="1564" w:type="dxa"/>
          </w:tcPr>
          <w:p w14:paraId="66D88E19" w14:textId="320EF4CC" w:rsidR="003E5ED0" w:rsidRPr="008675AD" w:rsidRDefault="009B6467"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64.567</w:t>
            </w:r>
          </w:p>
        </w:tc>
        <w:tc>
          <w:tcPr>
            <w:tcW w:w="882" w:type="dxa"/>
          </w:tcPr>
          <w:p w14:paraId="1CD0361E" w14:textId="68140E05" w:rsidR="003E5ED0" w:rsidRPr="008675AD" w:rsidRDefault="009B6467"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146</w:t>
            </w:r>
          </w:p>
        </w:tc>
      </w:tr>
      <w:tr w:rsidR="003E5ED0" w:rsidRPr="008675AD" w14:paraId="3DF7BC53"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206955AD" w14:textId="48854968" w:rsidR="003E5ED0" w:rsidRPr="008675AD" w:rsidRDefault="003E5ED0" w:rsidP="003E5ED0">
            <w:pPr>
              <w:spacing w:line="276" w:lineRule="auto"/>
              <w:contextualSpacing/>
              <w:rPr>
                <w:rFonts w:ascii="Times New Roman" w:eastAsia="Calibri" w:hAnsi="Times New Roman" w:cs="Times New Roman"/>
                <w:b w:val="0"/>
              </w:rPr>
            </w:pPr>
            <w:r w:rsidRPr="008675AD">
              <w:rPr>
                <w:rFonts w:ascii="Times New Roman" w:eastAsia="Calibri" w:hAnsi="Times New Roman" w:cs="Times New Roman"/>
                <w:b w:val="0"/>
              </w:rPr>
              <w:t>Troškovi usluga održavanja</w:t>
            </w:r>
          </w:p>
        </w:tc>
        <w:tc>
          <w:tcPr>
            <w:tcW w:w="1696" w:type="dxa"/>
          </w:tcPr>
          <w:p w14:paraId="040899C1" w14:textId="4403AEDC" w:rsidR="003E5ED0" w:rsidRPr="008675AD" w:rsidRDefault="003E5ED0"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290.508</w:t>
            </w:r>
          </w:p>
        </w:tc>
        <w:tc>
          <w:tcPr>
            <w:tcW w:w="1564" w:type="dxa"/>
          </w:tcPr>
          <w:p w14:paraId="58FF34AA" w14:textId="4CB8519C" w:rsidR="003E5ED0" w:rsidRPr="008675AD" w:rsidRDefault="009B6467"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373.208</w:t>
            </w:r>
          </w:p>
        </w:tc>
        <w:tc>
          <w:tcPr>
            <w:tcW w:w="882" w:type="dxa"/>
          </w:tcPr>
          <w:p w14:paraId="51943666" w14:textId="646AC7DB" w:rsidR="003E5ED0" w:rsidRPr="008675AD" w:rsidRDefault="009B6467"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128</w:t>
            </w:r>
          </w:p>
        </w:tc>
      </w:tr>
      <w:tr w:rsidR="003E5ED0" w:rsidRPr="008675AD" w14:paraId="2DA9C3B8"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64008AC0" w14:textId="52BFC891" w:rsidR="003E5ED0" w:rsidRPr="008675AD" w:rsidRDefault="003E5ED0" w:rsidP="003E5ED0">
            <w:pPr>
              <w:spacing w:line="276" w:lineRule="auto"/>
              <w:contextualSpacing/>
              <w:rPr>
                <w:rFonts w:ascii="Times New Roman" w:eastAsia="Calibri" w:hAnsi="Times New Roman" w:cs="Times New Roman"/>
                <w:b w:val="0"/>
              </w:rPr>
            </w:pPr>
            <w:r w:rsidRPr="008675AD">
              <w:rPr>
                <w:rFonts w:ascii="Times New Roman" w:eastAsia="Calibri" w:hAnsi="Times New Roman" w:cs="Times New Roman"/>
                <w:b w:val="0"/>
              </w:rPr>
              <w:t>Troškovi zakupnina i najamnina</w:t>
            </w:r>
          </w:p>
        </w:tc>
        <w:tc>
          <w:tcPr>
            <w:tcW w:w="1696" w:type="dxa"/>
          </w:tcPr>
          <w:p w14:paraId="03D7D659" w14:textId="5C57F746" w:rsidR="003E5ED0" w:rsidRPr="008675AD" w:rsidRDefault="003E5ED0"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10.800</w:t>
            </w:r>
          </w:p>
        </w:tc>
        <w:tc>
          <w:tcPr>
            <w:tcW w:w="1564" w:type="dxa"/>
          </w:tcPr>
          <w:p w14:paraId="0A46CBB5" w14:textId="16228403" w:rsidR="003E5ED0" w:rsidRPr="008675AD" w:rsidRDefault="009B6467"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31.180</w:t>
            </w:r>
          </w:p>
        </w:tc>
        <w:tc>
          <w:tcPr>
            <w:tcW w:w="882" w:type="dxa"/>
          </w:tcPr>
          <w:p w14:paraId="59019B25" w14:textId="6F8207EE" w:rsidR="003E5ED0" w:rsidRPr="008675AD" w:rsidRDefault="009B6467"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289</w:t>
            </w:r>
          </w:p>
        </w:tc>
      </w:tr>
      <w:tr w:rsidR="003E5ED0" w:rsidRPr="008675AD" w14:paraId="5DE04CD6"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505716BD" w14:textId="54AB7F9B" w:rsidR="003E5ED0" w:rsidRPr="008675AD" w:rsidRDefault="003E5ED0" w:rsidP="003E5ED0">
            <w:pPr>
              <w:spacing w:line="276" w:lineRule="auto"/>
              <w:contextualSpacing/>
              <w:rPr>
                <w:rFonts w:ascii="Times New Roman" w:eastAsia="Calibri" w:hAnsi="Times New Roman" w:cs="Times New Roman"/>
                <w:b w:val="0"/>
              </w:rPr>
            </w:pPr>
            <w:r w:rsidRPr="008675AD">
              <w:rPr>
                <w:rFonts w:ascii="Times New Roman" w:eastAsia="Calibri" w:hAnsi="Times New Roman" w:cs="Times New Roman"/>
                <w:b w:val="0"/>
              </w:rPr>
              <w:t>Troškovi promidžbe</w:t>
            </w:r>
          </w:p>
        </w:tc>
        <w:tc>
          <w:tcPr>
            <w:tcW w:w="1696" w:type="dxa"/>
          </w:tcPr>
          <w:p w14:paraId="38102362" w14:textId="35B631F7" w:rsidR="003E5ED0" w:rsidRPr="008675AD" w:rsidRDefault="003E5ED0"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61.755</w:t>
            </w:r>
          </w:p>
        </w:tc>
        <w:tc>
          <w:tcPr>
            <w:tcW w:w="1564" w:type="dxa"/>
          </w:tcPr>
          <w:p w14:paraId="5E2A2E75" w14:textId="3B181E7A" w:rsidR="003E5ED0" w:rsidRPr="008675AD" w:rsidRDefault="009B6467"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w:t>
            </w:r>
          </w:p>
        </w:tc>
        <w:tc>
          <w:tcPr>
            <w:tcW w:w="882" w:type="dxa"/>
          </w:tcPr>
          <w:p w14:paraId="13451FC4" w14:textId="6A771A76" w:rsidR="003E5ED0" w:rsidRPr="008675AD" w:rsidRDefault="009B6467"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w:t>
            </w:r>
          </w:p>
        </w:tc>
      </w:tr>
      <w:tr w:rsidR="003E5ED0" w:rsidRPr="008675AD" w14:paraId="06DC3094"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11D17448" w14:textId="7222367E" w:rsidR="003E5ED0" w:rsidRPr="008675AD" w:rsidRDefault="003E5ED0" w:rsidP="003E5ED0">
            <w:pPr>
              <w:spacing w:line="276" w:lineRule="auto"/>
              <w:contextualSpacing/>
              <w:rPr>
                <w:rFonts w:ascii="Times New Roman" w:eastAsia="Calibri" w:hAnsi="Times New Roman" w:cs="Times New Roman"/>
                <w:b w:val="0"/>
              </w:rPr>
            </w:pPr>
            <w:r w:rsidRPr="008675AD">
              <w:rPr>
                <w:rFonts w:ascii="Times New Roman" w:eastAsia="Calibri" w:hAnsi="Times New Roman" w:cs="Times New Roman"/>
                <w:b w:val="0"/>
              </w:rPr>
              <w:t>Troškovi intelektualnih usluga</w:t>
            </w:r>
          </w:p>
        </w:tc>
        <w:tc>
          <w:tcPr>
            <w:tcW w:w="1696" w:type="dxa"/>
          </w:tcPr>
          <w:p w14:paraId="2B66B231" w14:textId="29A79C09" w:rsidR="003E5ED0" w:rsidRPr="008675AD" w:rsidRDefault="003E5ED0"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115.288</w:t>
            </w:r>
          </w:p>
        </w:tc>
        <w:tc>
          <w:tcPr>
            <w:tcW w:w="1564" w:type="dxa"/>
          </w:tcPr>
          <w:p w14:paraId="1DCED8F2" w14:textId="2B10B83B" w:rsidR="003E5ED0" w:rsidRPr="008675AD" w:rsidRDefault="009B6467"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110.724</w:t>
            </w:r>
          </w:p>
        </w:tc>
        <w:tc>
          <w:tcPr>
            <w:tcW w:w="882" w:type="dxa"/>
          </w:tcPr>
          <w:p w14:paraId="236578E8" w14:textId="763F1B5F" w:rsidR="003E5ED0" w:rsidRPr="008675AD" w:rsidRDefault="009B6467"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96</w:t>
            </w:r>
          </w:p>
        </w:tc>
      </w:tr>
      <w:tr w:rsidR="003E5ED0" w:rsidRPr="008675AD" w14:paraId="3BD31A22"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297B7CA1" w14:textId="280E9280" w:rsidR="003E5ED0" w:rsidRPr="008675AD" w:rsidRDefault="003E5ED0" w:rsidP="003E5ED0">
            <w:pPr>
              <w:spacing w:line="276" w:lineRule="auto"/>
              <w:contextualSpacing/>
              <w:rPr>
                <w:rFonts w:ascii="Times New Roman" w:eastAsia="Calibri" w:hAnsi="Times New Roman" w:cs="Times New Roman"/>
                <w:b w:val="0"/>
              </w:rPr>
            </w:pPr>
            <w:r w:rsidRPr="008675AD">
              <w:rPr>
                <w:rFonts w:ascii="Times New Roman" w:eastAsia="Calibri" w:hAnsi="Times New Roman" w:cs="Times New Roman"/>
                <w:b w:val="0"/>
              </w:rPr>
              <w:t>Troškovi komunalnih usluga</w:t>
            </w:r>
          </w:p>
        </w:tc>
        <w:tc>
          <w:tcPr>
            <w:tcW w:w="1696" w:type="dxa"/>
          </w:tcPr>
          <w:p w14:paraId="0168F5D9" w14:textId="1E19CDCD" w:rsidR="003E5ED0" w:rsidRPr="008675AD" w:rsidRDefault="003E5ED0"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445.876</w:t>
            </w:r>
          </w:p>
        </w:tc>
        <w:tc>
          <w:tcPr>
            <w:tcW w:w="1564" w:type="dxa"/>
          </w:tcPr>
          <w:p w14:paraId="32AC32A4" w14:textId="1142B041" w:rsidR="003E5ED0" w:rsidRPr="008675AD" w:rsidRDefault="009B6467"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467.277</w:t>
            </w:r>
          </w:p>
        </w:tc>
        <w:tc>
          <w:tcPr>
            <w:tcW w:w="882" w:type="dxa"/>
          </w:tcPr>
          <w:p w14:paraId="131F88E3" w14:textId="6E0A0B0A" w:rsidR="003E5ED0" w:rsidRPr="008675AD" w:rsidRDefault="009B6467"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105</w:t>
            </w:r>
          </w:p>
        </w:tc>
      </w:tr>
      <w:tr w:rsidR="003E5ED0" w:rsidRPr="008675AD" w14:paraId="685346DA"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619715CC" w14:textId="027634FD" w:rsidR="003E5ED0" w:rsidRPr="008675AD" w:rsidRDefault="003E5ED0" w:rsidP="003E5ED0">
            <w:pPr>
              <w:spacing w:line="276" w:lineRule="auto"/>
              <w:contextualSpacing/>
              <w:rPr>
                <w:rFonts w:ascii="Times New Roman" w:eastAsia="Calibri" w:hAnsi="Times New Roman" w:cs="Times New Roman"/>
                <w:b w:val="0"/>
              </w:rPr>
            </w:pPr>
            <w:r w:rsidRPr="008675AD">
              <w:rPr>
                <w:rFonts w:ascii="Times New Roman" w:eastAsia="Calibri" w:hAnsi="Times New Roman" w:cs="Times New Roman"/>
                <w:b w:val="0"/>
              </w:rPr>
              <w:t>Troškovi bankarskih i sličnih usluga</w:t>
            </w:r>
          </w:p>
        </w:tc>
        <w:tc>
          <w:tcPr>
            <w:tcW w:w="1696" w:type="dxa"/>
          </w:tcPr>
          <w:p w14:paraId="7C2C0DEB" w14:textId="5EF904B7" w:rsidR="003E5ED0" w:rsidRPr="008675AD" w:rsidRDefault="003E5ED0"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95.024</w:t>
            </w:r>
          </w:p>
        </w:tc>
        <w:tc>
          <w:tcPr>
            <w:tcW w:w="1564" w:type="dxa"/>
          </w:tcPr>
          <w:p w14:paraId="411EF645" w14:textId="24039901" w:rsidR="003E5ED0" w:rsidRPr="008675AD" w:rsidRDefault="009B6467"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114.467</w:t>
            </w:r>
          </w:p>
        </w:tc>
        <w:tc>
          <w:tcPr>
            <w:tcW w:w="882" w:type="dxa"/>
          </w:tcPr>
          <w:p w14:paraId="5BDA7F52" w14:textId="12565E78" w:rsidR="003E5ED0" w:rsidRPr="008675AD" w:rsidRDefault="009B6467"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120</w:t>
            </w:r>
          </w:p>
        </w:tc>
      </w:tr>
      <w:tr w:rsidR="003E5ED0" w:rsidRPr="008675AD" w14:paraId="7D9E97D5"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43211CF1" w14:textId="2D3D1E4D" w:rsidR="003E5ED0" w:rsidRPr="008675AD" w:rsidRDefault="003E5ED0" w:rsidP="003E5ED0">
            <w:pPr>
              <w:spacing w:line="276" w:lineRule="auto"/>
              <w:contextualSpacing/>
              <w:rPr>
                <w:rFonts w:ascii="Times New Roman" w:eastAsia="Calibri" w:hAnsi="Times New Roman" w:cs="Times New Roman"/>
                <w:b w:val="0"/>
              </w:rPr>
            </w:pPr>
            <w:r w:rsidRPr="008675AD">
              <w:rPr>
                <w:rFonts w:ascii="Times New Roman" w:eastAsia="Calibri" w:hAnsi="Times New Roman" w:cs="Times New Roman"/>
                <w:b w:val="0"/>
              </w:rPr>
              <w:t>Troškovi premije osiguranja</w:t>
            </w:r>
          </w:p>
        </w:tc>
        <w:tc>
          <w:tcPr>
            <w:tcW w:w="1696" w:type="dxa"/>
          </w:tcPr>
          <w:p w14:paraId="68600FE8" w14:textId="1236D91E" w:rsidR="003E5ED0" w:rsidRPr="008675AD" w:rsidRDefault="003E5ED0"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145.560</w:t>
            </w:r>
          </w:p>
        </w:tc>
        <w:tc>
          <w:tcPr>
            <w:tcW w:w="1564" w:type="dxa"/>
          </w:tcPr>
          <w:p w14:paraId="484F26A0" w14:textId="6E8DCBFD" w:rsidR="003E5ED0" w:rsidRPr="008675AD" w:rsidRDefault="009B6467"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178.765</w:t>
            </w:r>
          </w:p>
        </w:tc>
        <w:tc>
          <w:tcPr>
            <w:tcW w:w="882" w:type="dxa"/>
          </w:tcPr>
          <w:p w14:paraId="1F899ED2" w14:textId="1672E15C" w:rsidR="003E5ED0" w:rsidRPr="008675AD" w:rsidRDefault="009B6467"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123</w:t>
            </w:r>
          </w:p>
        </w:tc>
      </w:tr>
      <w:tr w:rsidR="003E5ED0" w:rsidRPr="008675AD" w14:paraId="3A10A9C8"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72870412" w14:textId="305C7100" w:rsidR="003E5ED0" w:rsidRPr="008675AD" w:rsidRDefault="003E5ED0" w:rsidP="003E5ED0">
            <w:pPr>
              <w:spacing w:line="276" w:lineRule="auto"/>
              <w:contextualSpacing/>
              <w:rPr>
                <w:rFonts w:ascii="Times New Roman" w:eastAsia="Calibri" w:hAnsi="Times New Roman" w:cs="Times New Roman"/>
                <w:b w:val="0"/>
              </w:rPr>
            </w:pPr>
            <w:r w:rsidRPr="008675AD">
              <w:rPr>
                <w:rFonts w:ascii="Times New Roman" w:eastAsia="Calibri" w:hAnsi="Times New Roman" w:cs="Times New Roman"/>
                <w:b w:val="0"/>
              </w:rPr>
              <w:t>Troškovi registracije vozila</w:t>
            </w:r>
          </w:p>
        </w:tc>
        <w:tc>
          <w:tcPr>
            <w:tcW w:w="1696" w:type="dxa"/>
          </w:tcPr>
          <w:p w14:paraId="40B415F5" w14:textId="5D34184E" w:rsidR="003E5ED0" w:rsidRPr="008675AD" w:rsidRDefault="003E5ED0"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9.831</w:t>
            </w:r>
          </w:p>
        </w:tc>
        <w:tc>
          <w:tcPr>
            <w:tcW w:w="1564" w:type="dxa"/>
          </w:tcPr>
          <w:p w14:paraId="57BB35BD" w14:textId="79ED4CF8" w:rsidR="003E5ED0" w:rsidRPr="008675AD" w:rsidRDefault="009B6467"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9.640</w:t>
            </w:r>
          </w:p>
        </w:tc>
        <w:tc>
          <w:tcPr>
            <w:tcW w:w="882" w:type="dxa"/>
          </w:tcPr>
          <w:p w14:paraId="4409766A" w14:textId="503C5000" w:rsidR="003E5ED0" w:rsidRPr="008675AD" w:rsidRDefault="009B6467"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98</w:t>
            </w:r>
          </w:p>
        </w:tc>
      </w:tr>
      <w:tr w:rsidR="003E5ED0" w:rsidRPr="008675AD" w14:paraId="021F7AFD"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26A65D08" w14:textId="6DBDB8D3" w:rsidR="003E5ED0" w:rsidRPr="008675AD" w:rsidRDefault="003E5ED0" w:rsidP="003E5ED0">
            <w:pPr>
              <w:spacing w:line="276" w:lineRule="auto"/>
              <w:contextualSpacing/>
              <w:rPr>
                <w:rFonts w:ascii="Times New Roman" w:eastAsia="Calibri" w:hAnsi="Times New Roman" w:cs="Times New Roman"/>
                <w:b w:val="0"/>
              </w:rPr>
            </w:pPr>
            <w:r w:rsidRPr="008675AD">
              <w:rPr>
                <w:rFonts w:ascii="Times New Roman" w:eastAsia="Calibri" w:hAnsi="Times New Roman" w:cs="Times New Roman"/>
                <w:b w:val="0"/>
              </w:rPr>
              <w:t>Troškovi ostalih usluga</w:t>
            </w:r>
          </w:p>
        </w:tc>
        <w:tc>
          <w:tcPr>
            <w:tcW w:w="1696" w:type="dxa"/>
          </w:tcPr>
          <w:p w14:paraId="574BBC1E" w14:textId="32956252" w:rsidR="003E5ED0" w:rsidRPr="008675AD" w:rsidRDefault="003E5ED0"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462.145</w:t>
            </w:r>
          </w:p>
        </w:tc>
        <w:tc>
          <w:tcPr>
            <w:tcW w:w="1564" w:type="dxa"/>
          </w:tcPr>
          <w:p w14:paraId="0F7CBE4B" w14:textId="0EB246AB" w:rsidR="003E5ED0" w:rsidRPr="008675AD" w:rsidRDefault="009B6467"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485.660</w:t>
            </w:r>
          </w:p>
        </w:tc>
        <w:tc>
          <w:tcPr>
            <w:tcW w:w="882" w:type="dxa"/>
          </w:tcPr>
          <w:p w14:paraId="3F9CEC3B" w14:textId="34D5F814" w:rsidR="003E5ED0" w:rsidRPr="008675AD" w:rsidRDefault="009B6467" w:rsidP="003E5ED0">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675AD">
              <w:rPr>
                <w:rFonts w:ascii="Times New Roman" w:eastAsia="Calibri" w:hAnsi="Times New Roman" w:cs="Times New Roman"/>
              </w:rPr>
              <w:t>105</w:t>
            </w:r>
          </w:p>
        </w:tc>
      </w:tr>
      <w:tr w:rsidR="003E5ED0" w:rsidRPr="008675AD" w14:paraId="57169276" w14:textId="77777777" w:rsidTr="00EB3EEA">
        <w:tc>
          <w:tcPr>
            <w:cnfStyle w:val="001000000000" w:firstRow="0" w:lastRow="0" w:firstColumn="1" w:lastColumn="0" w:oddVBand="0" w:evenVBand="0" w:oddHBand="0" w:evenHBand="0" w:firstRowFirstColumn="0" w:firstRowLastColumn="0" w:lastRowFirstColumn="0" w:lastRowLastColumn="0"/>
            <w:tcW w:w="4253" w:type="dxa"/>
          </w:tcPr>
          <w:p w14:paraId="64C6252F" w14:textId="7A2BF71C" w:rsidR="003E5ED0" w:rsidRPr="008675AD" w:rsidRDefault="003E5ED0" w:rsidP="003E5ED0">
            <w:pPr>
              <w:spacing w:line="276" w:lineRule="auto"/>
              <w:contextualSpacing/>
              <w:rPr>
                <w:rFonts w:ascii="Times New Roman" w:eastAsia="Calibri" w:hAnsi="Times New Roman" w:cs="Times New Roman"/>
              </w:rPr>
            </w:pPr>
            <w:r w:rsidRPr="008675AD">
              <w:rPr>
                <w:rFonts w:ascii="Times New Roman" w:eastAsia="Calibri" w:hAnsi="Times New Roman" w:cs="Times New Roman"/>
              </w:rPr>
              <w:t>Ukupno vanjski troškovi</w:t>
            </w:r>
          </w:p>
        </w:tc>
        <w:tc>
          <w:tcPr>
            <w:tcW w:w="1696" w:type="dxa"/>
          </w:tcPr>
          <w:p w14:paraId="208D76E2" w14:textId="27E9B28A" w:rsidR="003E5ED0" w:rsidRPr="008675AD" w:rsidRDefault="003E5ED0"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8675AD">
              <w:rPr>
                <w:rFonts w:ascii="Times New Roman" w:eastAsia="Calibri" w:hAnsi="Times New Roman" w:cs="Times New Roman"/>
                <w:b/>
              </w:rPr>
              <w:t>1.811.260</w:t>
            </w:r>
          </w:p>
        </w:tc>
        <w:tc>
          <w:tcPr>
            <w:tcW w:w="1564" w:type="dxa"/>
          </w:tcPr>
          <w:p w14:paraId="6E168AC6" w14:textId="0C14C2DF" w:rsidR="003E5ED0" w:rsidRPr="008675AD" w:rsidRDefault="003E5ED0"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8675AD">
              <w:rPr>
                <w:rFonts w:ascii="Times New Roman" w:eastAsia="Calibri" w:hAnsi="Times New Roman" w:cs="Times New Roman"/>
                <w:b/>
              </w:rPr>
              <w:t>1.981.869</w:t>
            </w:r>
          </w:p>
        </w:tc>
        <w:tc>
          <w:tcPr>
            <w:tcW w:w="882" w:type="dxa"/>
          </w:tcPr>
          <w:p w14:paraId="71D6C37D" w14:textId="0F9AD635" w:rsidR="003E5ED0" w:rsidRPr="008675AD" w:rsidRDefault="009B6467" w:rsidP="003E5ED0">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8675AD">
              <w:rPr>
                <w:rFonts w:ascii="Times New Roman" w:eastAsia="Calibri" w:hAnsi="Times New Roman" w:cs="Times New Roman"/>
                <w:b/>
              </w:rPr>
              <w:t>109</w:t>
            </w:r>
          </w:p>
        </w:tc>
      </w:tr>
    </w:tbl>
    <w:p w14:paraId="6DCBD1CC" w14:textId="77777777" w:rsidR="00A41FA8" w:rsidRPr="008675AD" w:rsidRDefault="00A41FA8" w:rsidP="00131D13">
      <w:pPr>
        <w:spacing w:after="0" w:line="240" w:lineRule="auto"/>
        <w:rPr>
          <w:rFonts w:ascii="Times New Roman" w:eastAsia="Times New Roman" w:hAnsi="Times New Roman" w:cs="Times New Roman"/>
        </w:rPr>
      </w:pPr>
    </w:p>
    <w:p w14:paraId="28A56CDB" w14:textId="77777777" w:rsidR="00FD7D6E" w:rsidRPr="008675AD" w:rsidRDefault="00FD7D6E" w:rsidP="003159C9">
      <w:pPr>
        <w:spacing w:after="0" w:line="276" w:lineRule="auto"/>
        <w:contextualSpacing/>
        <w:jc w:val="both"/>
        <w:rPr>
          <w:rFonts w:ascii="Times New Roman" w:eastAsia="Calibri" w:hAnsi="Times New Roman" w:cs="Times New Roman"/>
        </w:rPr>
      </w:pPr>
    </w:p>
    <w:p w14:paraId="524AF786" w14:textId="77777777" w:rsidR="00131D13" w:rsidRPr="008675AD" w:rsidRDefault="00131D13" w:rsidP="00131D13">
      <w:pPr>
        <w:spacing w:after="0" w:line="240" w:lineRule="auto"/>
        <w:rPr>
          <w:rFonts w:ascii="Times New Roman" w:eastAsia="Times New Roman" w:hAnsi="Times New Roman" w:cs="Times New Roman"/>
          <w:b/>
        </w:rPr>
      </w:pPr>
      <w:r w:rsidRPr="008675AD">
        <w:rPr>
          <w:rFonts w:ascii="Times New Roman" w:eastAsia="Times New Roman" w:hAnsi="Times New Roman" w:cs="Times New Roman"/>
          <w:b/>
        </w:rPr>
        <w:t>Bilješka 1</w:t>
      </w:r>
      <w:r w:rsidR="00137795" w:rsidRPr="008675AD">
        <w:rPr>
          <w:rFonts w:ascii="Times New Roman" w:eastAsia="Times New Roman" w:hAnsi="Times New Roman" w:cs="Times New Roman"/>
          <w:b/>
        </w:rPr>
        <w:t>9</w:t>
      </w:r>
      <w:r w:rsidRPr="008675AD">
        <w:rPr>
          <w:rFonts w:ascii="Times New Roman" w:eastAsia="Times New Roman" w:hAnsi="Times New Roman" w:cs="Times New Roman"/>
          <w:b/>
        </w:rPr>
        <w:t>. Troškovi osoblja</w:t>
      </w:r>
    </w:p>
    <w:p w14:paraId="6462D2B3" w14:textId="77777777" w:rsidR="003E28E9" w:rsidRPr="008675AD" w:rsidRDefault="003E28E9" w:rsidP="00C32249">
      <w:pPr>
        <w:spacing w:after="0" w:line="276" w:lineRule="auto"/>
        <w:contextualSpacing/>
        <w:jc w:val="both"/>
        <w:rPr>
          <w:rFonts w:ascii="Times New Roman" w:eastAsia="Calibri" w:hAnsi="Times New Roman" w:cs="Times New Roman"/>
          <w:b/>
          <w:bCs/>
        </w:rPr>
      </w:pPr>
    </w:p>
    <w:p w14:paraId="14470857" w14:textId="77777777" w:rsidR="009B6467" w:rsidRPr="008675AD" w:rsidRDefault="00C32249" w:rsidP="009B6467">
      <w:pPr>
        <w:pStyle w:val="Odlomakpopisa2"/>
        <w:ind w:left="0"/>
        <w:jc w:val="both"/>
        <w:rPr>
          <w:rFonts w:ascii="Times New Roman" w:hAnsi="Times New Roman"/>
          <w:noProof/>
          <w:color w:val="FF0000"/>
        </w:rPr>
      </w:pPr>
      <w:r w:rsidRPr="008675AD">
        <w:rPr>
          <w:rFonts w:ascii="Times New Roman" w:eastAsia="Calibri" w:hAnsi="Times New Roman"/>
          <w:b/>
          <w:bCs/>
        </w:rPr>
        <w:t xml:space="preserve">Troškovi osoblja </w:t>
      </w:r>
      <w:r w:rsidRPr="008675AD">
        <w:rPr>
          <w:rFonts w:ascii="Times New Roman" w:eastAsia="Calibri" w:hAnsi="Times New Roman"/>
        </w:rPr>
        <w:t xml:space="preserve">iznose </w:t>
      </w:r>
      <w:r w:rsidR="009B6467" w:rsidRPr="008675AD">
        <w:rPr>
          <w:rFonts w:ascii="Times New Roman" w:eastAsia="Calibri" w:hAnsi="Times New Roman"/>
        </w:rPr>
        <w:t>5.236.496</w:t>
      </w:r>
      <w:r w:rsidRPr="008675AD">
        <w:rPr>
          <w:rFonts w:ascii="Times New Roman" w:eastAsia="Calibri" w:hAnsi="Times New Roman"/>
        </w:rPr>
        <w:t xml:space="preserve"> kn te bilježi povećanje od </w:t>
      </w:r>
      <w:r w:rsidR="009B6467" w:rsidRPr="008675AD">
        <w:rPr>
          <w:rFonts w:ascii="Times New Roman" w:eastAsia="Calibri" w:hAnsi="Times New Roman"/>
        </w:rPr>
        <w:t>12</w:t>
      </w:r>
      <w:r w:rsidRPr="008675AD">
        <w:rPr>
          <w:rFonts w:ascii="Times New Roman" w:eastAsia="Calibri" w:hAnsi="Times New Roman"/>
        </w:rPr>
        <w:t xml:space="preserve">% (za </w:t>
      </w:r>
      <w:r w:rsidR="009B6467" w:rsidRPr="008675AD">
        <w:rPr>
          <w:rFonts w:ascii="Times New Roman" w:eastAsia="Calibri" w:hAnsi="Times New Roman"/>
        </w:rPr>
        <w:t>557</w:t>
      </w:r>
      <w:r w:rsidRPr="008675AD">
        <w:rPr>
          <w:rFonts w:ascii="Times New Roman" w:eastAsia="Calibri" w:hAnsi="Times New Roman"/>
        </w:rPr>
        <w:t xml:space="preserve"> </w:t>
      </w:r>
      <w:proofErr w:type="spellStart"/>
      <w:r w:rsidRPr="008675AD">
        <w:rPr>
          <w:rFonts w:ascii="Times New Roman" w:eastAsia="Calibri" w:hAnsi="Times New Roman"/>
        </w:rPr>
        <w:t>tis</w:t>
      </w:r>
      <w:proofErr w:type="spellEnd"/>
      <w:r w:rsidRPr="008675AD">
        <w:rPr>
          <w:rFonts w:ascii="Times New Roman" w:eastAsia="Calibri" w:hAnsi="Times New Roman"/>
        </w:rPr>
        <w:t xml:space="preserve"> kn) u odnosu na 202</w:t>
      </w:r>
      <w:r w:rsidR="009B6467" w:rsidRPr="008675AD">
        <w:rPr>
          <w:rFonts w:ascii="Times New Roman" w:eastAsia="Calibri" w:hAnsi="Times New Roman"/>
        </w:rPr>
        <w:t>1</w:t>
      </w:r>
      <w:r w:rsidRPr="008675AD">
        <w:rPr>
          <w:rFonts w:ascii="Times New Roman" w:eastAsia="Calibri" w:hAnsi="Times New Roman"/>
        </w:rPr>
        <w:t>. godinu,</w:t>
      </w:r>
      <w:r w:rsidRPr="008675AD">
        <w:rPr>
          <w:rFonts w:ascii="Times New Roman" w:hAnsi="Times New Roman"/>
          <w:bCs/>
        </w:rPr>
        <w:t xml:space="preserve"> </w:t>
      </w:r>
      <w:r w:rsidR="009B6467" w:rsidRPr="008675AD">
        <w:rPr>
          <w:rFonts w:ascii="Times New Roman" w:hAnsi="Times New Roman"/>
          <w:bCs/>
        </w:rPr>
        <w:t xml:space="preserve">najvećim djelom utjecaj povećanja troška osoblja odnosi se na izmjene osnovice plaće iz 3.550 kn na 3.900 kn primjenom </w:t>
      </w:r>
      <w:proofErr w:type="spellStart"/>
      <w:r w:rsidR="009B6467" w:rsidRPr="008675AD">
        <w:rPr>
          <w:rFonts w:ascii="Times New Roman" w:hAnsi="Times New Roman"/>
          <w:bCs/>
        </w:rPr>
        <w:t>Anex</w:t>
      </w:r>
      <w:proofErr w:type="spellEnd"/>
      <w:r w:rsidR="009B6467" w:rsidRPr="008675AD">
        <w:rPr>
          <w:rFonts w:ascii="Times New Roman" w:hAnsi="Times New Roman"/>
          <w:bCs/>
        </w:rPr>
        <w:t xml:space="preserve">-a br. 1. Kolektivnog ugovora koji je potpisan 03.08.2022. s primjenom 01.07.2022. godine, te isplata 5 otpremnina radnicima za odlazak u mirovinu sukladno odredbama Kolektivnog ugovora i </w:t>
      </w:r>
      <w:proofErr w:type="spellStart"/>
      <w:r w:rsidR="009B6467" w:rsidRPr="008675AD">
        <w:rPr>
          <w:rFonts w:ascii="Times New Roman" w:hAnsi="Times New Roman"/>
          <w:bCs/>
        </w:rPr>
        <w:t>Anex</w:t>
      </w:r>
      <w:proofErr w:type="spellEnd"/>
      <w:r w:rsidR="009B6467" w:rsidRPr="008675AD">
        <w:rPr>
          <w:rFonts w:ascii="Times New Roman" w:hAnsi="Times New Roman"/>
          <w:bCs/>
        </w:rPr>
        <w:t xml:space="preserve">-a br. 1.  Kolektivnog ugovora. </w:t>
      </w:r>
    </w:p>
    <w:p w14:paraId="33C0133F" w14:textId="692E936B" w:rsidR="00C32249" w:rsidRPr="008675AD" w:rsidRDefault="00C32249" w:rsidP="00C32249">
      <w:pPr>
        <w:spacing w:after="0" w:line="276" w:lineRule="auto"/>
        <w:contextualSpacing/>
        <w:jc w:val="both"/>
        <w:rPr>
          <w:rFonts w:ascii="Times New Roman" w:eastAsia="Times New Roman" w:hAnsi="Times New Roman" w:cs="Times New Roman"/>
          <w:noProof/>
          <w:color w:val="FF0000"/>
        </w:rPr>
      </w:pPr>
    </w:p>
    <w:p w14:paraId="3E858A69" w14:textId="77777777" w:rsidR="00763305" w:rsidRPr="008675AD" w:rsidRDefault="00763305" w:rsidP="00131D13">
      <w:pPr>
        <w:spacing w:after="0" w:line="240" w:lineRule="auto"/>
        <w:rPr>
          <w:rFonts w:ascii="Times New Roman" w:eastAsia="Times New Roman" w:hAnsi="Times New Roman" w:cs="Times New Roman"/>
          <w:b/>
        </w:rPr>
      </w:pPr>
    </w:p>
    <w:p w14:paraId="41A0044C" w14:textId="6FC34DA2" w:rsidR="008675AD" w:rsidRPr="008675AD" w:rsidRDefault="008675AD" w:rsidP="008675AD">
      <w:pPr>
        <w:widowControl w:val="0"/>
        <w:spacing w:after="0" w:line="280" w:lineRule="exact"/>
        <w:jc w:val="right"/>
        <w:rPr>
          <w:rFonts w:ascii="Times New Roman" w:eastAsia="Times New Roman" w:hAnsi="Times New Roman" w:cs="Times New Roman"/>
        </w:rPr>
      </w:pPr>
      <w:r>
        <w:rPr>
          <w:rFonts w:ascii="Times New Roman" w:eastAsia="Times New Roman" w:hAnsi="Times New Roman" w:cs="Times New Roman"/>
        </w:rPr>
        <w:t>12</w:t>
      </w:r>
    </w:p>
    <w:p w14:paraId="32D1BEDD" w14:textId="77777777" w:rsidR="008675AD" w:rsidRPr="00332B98" w:rsidRDefault="008675AD" w:rsidP="00131D13">
      <w:pPr>
        <w:widowControl w:val="0"/>
        <w:spacing w:after="0" w:line="280" w:lineRule="exact"/>
        <w:jc w:val="both"/>
        <w:rPr>
          <w:rFonts w:ascii="Times New Roman" w:eastAsia="Times New Roman" w:hAnsi="Times New Roman" w:cs="Times New Roman"/>
          <w:b/>
        </w:rPr>
      </w:pPr>
    </w:p>
    <w:p w14:paraId="4BF44B9E" w14:textId="77777777" w:rsidR="00131D13" w:rsidRPr="00332B98" w:rsidRDefault="00131D13" w:rsidP="00131D13">
      <w:pPr>
        <w:widowControl w:val="0"/>
        <w:spacing w:after="0" w:line="280" w:lineRule="exact"/>
        <w:jc w:val="both"/>
        <w:rPr>
          <w:rFonts w:ascii="Times New Roman" w:eastAsia="Times New Roman" w:hAnsi="Times New Roman" w:cs="Times New Roman"/>
          <w:b/>
        </w:rPr>
      </w:pPr>
      <w:r w:rsidRPr="00332B98">
        <w:rPr>
          <w:rFonts w:ascii="Times New Roman" w:eastAsia="Times New Roman" w:hAnsi="Times New Roman" w:cs="Times New Roman"/>
          <w:b/>
        </w:rPr>
        <w:t xml:space="preserve">Bilješka </w:t>
      </w:r>
      <w:r w:rsidR="00137795" w:rsidRPr="00332B98">
        <w:rPr>
          <w:rFonts w:ascii="Times New Roman" w:eastAsia="Times New Roman" w:hAnsi="Times New Roman" w:cs="Times New Roman"/>
          <w:b/>
        </w:rPr>
        <w:t>20</w:t>
      </w:r>
      <w:r w:rsidRPr="00332B98">
        <w:rPr>
          <w:rFonts w:ascii="Times New Roman" w:eastAsia="Times New Roman" w:hAnsi="Times New Roman" w:cs="Times New Roman"/>
          <w:b/>
        </w:rPr>
        <w:t>.  Troškovi amortizacije</w:t>
      </w:r>
    </w:p>
    <w:p w14:paraId="7605D7B1" w14:textId="77777777" w:rsidR="00131D13" w:rsidRPr="00332B98" w:rsidRDefault="00131D13" w:rsidP="00131D13">
      <w:pPr>
        <w:widowControl w:val="0"/>
        <w:spacing w:after="0" w:line="280" w:lineRule="exact"/>
        <w:jc w:val="both"/>
        <w:rPr>
          <w:rFonts w:ascii="Times New Roman" w:eastAsia="Times New Roman" w:hAnsi="Times New Roman" w:cs="Times New Roman"/>
        </w:rPr>
      </w:pPr>
      <w:r w:rsidRPr="00332B98">
        <w:rPr>
          <w:rFonts w:ascii="Times New Roman" w:eastAsia="Times New Roman" w:hAnsi="Times New Roman" w:cs="Times New Roman"/>
        </w:rPr>
        <w:t xml:space="preserve">  </w:t>
      </w:r>
    </w:p>
    <w:tbl>
      <w:tblPr>
        <w:tblStyle w:val="GridTable2-Accent3"/>
        <w:tblW w:w="0" w:type="auto"/>
        <w:tblLook w:val="04A0" w:firstRow="1" w:lastRow="0" w:firstColumn="1" w:lastColumn="0" w:noHBand="0" w:noVBand="1"/>
      </w:tblPr>
      <w:tblGrid>
        <w:gridCol w:w="4253"/>
        <w:gridCol w:w="1696"/>
        <w:gridCol w:w="1564"/>
        <w:gridCol w:w="882"/>
      </w:tblGrid>
      <w:tr w:rsidR="002E7078" w:rsidRPr="00332B98" w14:paraId="43D7EAED" w14:textId="77777777" w:rsidTr="00803B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062BD3A3" w14:textId="77777777" w:rsidR="002E7078" w:rsidRPr="00332B98" w:rsidRDefault="002E7078" w:rsidP="00803BE9">
            <w:pPr>
              <w:spacing w:line="276" w:lineRule="auto"/>
              <w:contextualSpacing/>
              <w:rPr>
                <w:rFonts w:ascii="Times New Roman" w:eastAsia="Calibri" w:hAnsi="Times New Roman" w:cs="Times New Roman"/>
                <w:bCs w:val="0"/>
              </w:rPr>
            </w:pPr>
            <w:r w:rsidRPr="00332B98">
              <w:rPr>
                <w:rFonts w:ascii="Times New Roman" w:eastAsia="Calibri" w:hAnsi="Times New Roman" w:cs="Times New Roman"/>
                <w:bCs w:val="0"/>
              </w:rPr>
              <w:t>Naziv pozicije</w:t>
            </w:r>
          </w:p>
        </w:tc>
        <w:tc>
          <w:tcPr>
            <w:tcW w:w="1696" w:type="dxa"/>
          </w:tcPr>
          <w:p w14:paraId="5A62D9BF" w14:textId="177E9F72" w:rsidR="002E7078" w:rsidRPr="00332B98" w:rsidRDefault="002E7078" w:rsidP="009B646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332B98">
              <w:rPr>
                <w:rFonts w:ascii="Times New Roman" w:eastAsia="Calibri" w:hAnsi="Times New Roman" w:cs="Times New Roman"/>
                <w:bCs w:val="0"/>
              </w:rPr>
              <w:t>Stanje na 31.12.20</w:t>
            </w:r>
            <w:r w:rsidR="00C32249" w:rsidRPr="00332B98">
              <w:rPr>
                <w:rFonts w:ascii="Times New Roman" w:eastAsia="Calibri" w:hAnsi="Times New Roman" w:cs="Times New Roman"/>
                <w:bCs w:val="0"/>
              </w:rPr>
              <w:t>2</w:t>
            </w:r>
            <w:r w:rsidR="009B6467" w:rsidRPr="00332B98">
              <w:rPr>
                <w:rFonts w:ascii="Times New Roman" w:eastAsia="Calibri" w:hAnsi="Times New Roman" w:cs="Times New Roman"/>
                <w:bCs w:val="0"/>
              </w:rPr>
              <w:t>1</w:t>
            </w:r>
            <w:r w:rsidRPr="00332B98">
              <w:rPr>
                <w:rFonts w:ascii="Times New Roman" w:eastAsia="Calibri" w:hAnsi="Times New Roman" w:cs="Times New Roman"/>
                <w:bCs w:val="0"/>
              </w:rPr>
              <w:t>.</w:t>
            </w:r>
          </w:p>
        </w:tc>
        <w:tc>
          <w:tcPr>
            <w:tcW w:w="1564" w:type="dxa"/>
          </w:tcPr>
          <w:p w14:paraId="1D4863CF" w14:textId="728C5852" w:rsidR="002E7078" w:rsidRPr="00332B98" w:rsidRDefault="002E7078" w:rsidP="009B646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332B98">
              <w:rPr>
                <w:rFonts w:ascii="Times New Roman" w:eastAsia="Calibri" w:hAnsi="Times New Roman" w:cs="Times New Roman"/>
                <w:bCs w:val="0"/>
              </w:rPr>
              <w:t>Stanje na 31.12.202</w:t>
            </w:r>
            <w:r w:rsidR="009B6467" w:rsidRPr="00332B98">
              <w:rPr>
                <w:rFonts w:ascii="Times New Roman" w:eastAsia="Calibri" w:hAnsi="Times New Roman" w:cs="Times New Roman"/>
                <w:bCs w:val="0"/>
              </w:rPr>
              <w:t>2</w:t>
            </w:r>
            <w:r w:rsidRPr="00332B98">
              <w:rPr>
                <w:rFonts w:ascii="Times New Roman" w:eastAsia="Calibri" w:hAnsi="Times New Roman" w:cs="Times New Roman"/>
                <w:bCs w:val="0"/>
              </w:rPr>
              <w:t>.</w:t>
            </w:r>
          </w:p>
        </w:tc>
        <w:tc>
          <w:tcPr>
            <w:tcW w:w="882" w:type="dxa"/>
          </w:tcPr>
          <w:p w14:paraId="7D29B37E" w14:textId="77777777" w:rsidR="002E7078" w:rsidRPr="00332B98" w:rsidRDefault="002E7078" w:rsidP="00803BE9">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332B98">
              <w:rPr>
                <w:rFonts w:ascii="Times New Roman" w:eastAsia="Calibri" w:hAnsi="Times New Roman" w:cs="Times New Roman"/>
                <w:bCs w:val="0"/>
              </w:rPr>
              <w:t>IND</w:t>
            </w:r>
          </w:p>
        </w:tc>
      </w:tr>
      <w:tr w:rsidR="00C32249" w:rsidRPr="00332B98" w14:paraId="7045DF62" w14:textId="77777777" w:rsidTr="00803B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4D5C4D34" w14:textId="6B992594" w:rsidR="00C32249" w:rsidRPr="00332B98" w:rsidRDefault="00C32249" w:rsidP="00C32249">
            <w:pPr>
              <w:spacing w:line="276" w:lineRule="auto"/>
              <w:contextualSpacing/>
              <w:rPr>
                <w:rFonts w:ascii="Times New Roman" w:eastAsia="Calibri" w:hAnsi="Times New Roman" w:cs="Times New Roman"/>
                <w:b w:val="0"/>
              </w:rPr>
            </w:pPr>
            <w:r w:rsidRPr="00332B98">
              <w:rPr>
                <w:rFonts w:ascii="Times New Roman" w:eastAsia="Calibri" w:hAnsi="Times New Roman" w:cs="Times New Roman"/>
                <w:b w:val="0"/>
              </w:rPr>
              <w:t>Amortizacija građevinskih objekata</w:t>
            </w:r>
          </w:p>
        </w:tc>
        <w:tc>
          <w:tcPr>
            <w:tcW w:w="1696" w:type="dxa"/>
          </w:tcPr>
          <w:p w14:paraId="690AAC30" w14:textId="39E66A4A" w:rsidR="00C32249" w:rsidRPr="00332B98" w:rsidRDefault="00C32249" w:rsidP="00C3224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32B98">
              <w:rPr>
                <w:rFonts w:ascii="Times New Roman" w:eastAsia="Calibri" w:hAnsi="Times New Roman" w:cs="Times New Roman"/>
              </w:rPr>
              <w:t>-</w:t>
            </w:r>
          </w:p>
        </w:tc>
        <w:tc>
          <w:tcPr>
            <w:tcW w:w="1564" w:type="dxa"/>
          </w:tcPr>
          <w:p w14:paraId="597CA7A5" w14:textId="381C7E65" w:rsidR="00C32249" w:rsidRPr="00332B98" w:rsidRDefault="00C32249" w:rsidP="00C3224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32B98">
              <w:rPr>
                <w:rFonts w:ascii="Times New Roman" w:eastAsia="Calibri" w:hAnsi="Times New Roman" w:cs="Times New Roman"/>
              </w:rPr>
              <w:t>-</w:t>
            </w:r>
          </w:p>
        </w:tc>
        <w:tc>
          <w:tcPr>
            <w:tcW w:w="882" w:type="dxa"/>
          </w:tcPr>
          <w:p w14:paraId="1E384899" w14:textId="3829AF80" w:rsidR="00C32249" w:rsidRPr="00332B98" w:rsidRDefault="00C32249" w:rsidP="00C3224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32B98">
              <w:rPr>
                <w:rFonts w:ascii="Times New Roman" w:eastAsia="Calibri" w:hAnsi="Times New Roman" w:cs="Times New Roman"/>
              </w:rPr>
              <w:t>-</w:t>
            </w:r>
          </w:p>
        </w:tc>
      </w:tr>
      <w:tr w:rsidR="004F6845" w:rsidRPr="00332B98" w14:paraId="4BD9FE03" w14:textId="77777777" w:rsidTr="00803BE9">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4397AF95" w14:textId="24D7A16E" w:rsidR="004F6845" w:rsidRPr="00332B98" w:rsidRDefault="004F6845" w:rsidP="004F6845">
            <w:pPr>
              <w:spacing w:line="276" w:lineRule="auto"/>
              <w:contextualSpacing/>
              <w:rPr>
                <w:rFonts w:ascii="Times New Roman" w:eastAsia="Calibri" w:hAnsi="Times New Roman" w:cs="Times New Roman"/>
                <w:b w:val="0"/>
              </w:rPr>
            </w:pPr>
            <w:r w:rsidRPr="00332B98">
              <w:rPr>
                <w:rFonts w:ascii="Times New Roman" w:eastAsia="Calibri" w:hAnsi="Times New Roman" w:cs="Times New Roman"/>
                <w:b w:val="0"/>
              </w:rPr>
              <w:t>Amortizacija postrojenja i opreme</w:t>
            </w:r>
          </w:p>
        </w:tc>
        <w:tc>
          <w:tcPr>
            <w:tcW w:w="1696" w:type="dxa"/>
          </w:tcPr>
          <w:p w14:paraId="2D37C012" w14:textId="6FBE1169" w:rsidR="004F6845" w:rsidRPr="00332B98" w:rsidRDefault="004F6845" w:rsidP="004F6845">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32B98">
              <w:rPr>
                <w:rFonts w:ascii="Times New Roman" w:eastAsia="Calibri" w:hAnsi="Times New Roman" w:cs="Times New Roman"/>
              </w:rPr>
              <w:t>67.582</w:t>
            </w:r>
          </w:p>
        </w:tc>
        <w:tc>
          <w:tcPr>
            <w:tcW w:w="1564" w:type="dxa"/>
          </w:tcPr>
          <w:p w14:paraId="4ED03D51" w14:textId="5BCDC9AE" w:rsidR="004F6845" w:rsidRPr="00332B98" w:rsidRDefault="004F6845" w:rsidP="004F6845">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32B98">
              <w:rPr>
                <w:rFonts w:ascii="Times New Roman" w:eastAsia="Calibri" w:hAnsi="Times New Roman" w:cs="Times New Roman"/>
              </w:rPr>
              <w:t>79.695</w:t>
            </w:r>
          </w:p>
        </w:tc>
        <w:tc>
          <w:tcPr>
            <w:tcW w:w="882" w:type="dxa"/>
          </w:tcPr>
          <w:p w14:paraId="25CD30E8" w14:textId="1CF469E9" w:rsidR="004F6845" w:rsidRPr="00332B98" w:rsidRDefault="00BD32E1" w:rsidP="004F6845">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118</w:t>
            </w:r>
          </w:p>
        </w:tc>
      </w:tr>
      <w:tr w:rsidR="004F6845" w:rsidRPr="00332B98" w14:paraId="62C99AD1" w14:textId="77777777" w:rsidTr="00803B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04F288BE" w14:textId="7540C6F2" w:rsidR="004F6845" w:rsidRPr="00332B98" w:rsidRDefault="004F6845" w:rsidP="004F6845">
            <w:pPr>
              <w:spacing w:line="276" w:lineRule="auto"/>
              <w:contextualSpacing/>
              <w:rPr>
                <w:rFonts w:ascii="Times New Roman" w:eastAsia="Calibri" w:hAnsi="Times New Roman" w:cs="Times New Roman"/>
                <w:b w:val="0"/>
              </w:rPr>
            </w:pPr>
            <w:r w:rsidRPr="00332B98">
              <w:rPr>
                <w:rFonts w:ascii="Times New Roman" w:eastAsia="Calibri" w:hAnsi="Times New Roman" w:cs="Times New Roman"/>
                <w:b w:val="0"/>
              </w:rPr>
              <w:t>Amortizacija prijevoznih sredstava</w:t>
            </w:r>
          </w:p>
        </w:tc>
        <w:tc>
          <w:tcPr>
            <w:tcW w:w="1696" w:type="dxa"/>
          </w:tcPr>
          <w:p w14:paraId="677497B8" w14:textId="69AEDE7B" w:rsidR="004F6845" w:rsidRPr="00332B98" w:rsidRDefault="004F6845" w:rsidP="004F6845">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32B98">
              <w:rPr>
                <w:rFonts w:ascii="Times New Roman" w:eastAsia="Calibri" w:hAnsi="Times New Roman" w:cs="Times New Roman"/>
              </w:rPr>
              <w:t>102.079</w:t>
            </w:r>
          </w:p>
        </w:tc>
        <w:tc>
          <w:tcPr>
            <w:tcW w:w="1564" w:type="dxa"/>
          </w:tcPr>
          <w:p w14:paraId="7EED5E9B" w14:textId="00BEF9D9" w:rsidR="004F6845" w:rsidRPr="00332B98" w:rsidRDefault="004F6845" w:rsidP="004F6845">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32B98">
              <w:rPr>
                <w:rFonts w:ascii="Times New Roman" w:eastAsia="Calibri" w:hAnsi="Times New Roman" w:cs="Times New Roman"/>
              </w:rPr>
              <w:t>102.079</w:t>
            </w:r>
          </w:p>
        </w:tc>
        <w:tc>
          <w:tcPr>
            <w:tcW w:w="882" w:type="dxa"/>
          </w:tcPr>
          <w:p w14:paraId="73536EAB" w14:textId="678FCDAF" w:rsidR="004F6845" w:rsidRPr="00332B98" w:rsidRDefault="00BD32E1" w:rsidP="004F6845">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100</w:t>
            </w:r>
          </w:p>
        </w:tc>
      </w:tr>
      <w:tr w:rsidR="004F6845" w:rsidRPr="00332B98" w14:paraId="76F06D61" w14:textId="77777777" w:rsidTr="00803BE9">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6B453823" w14:textId="44CADC0D" w:rsidR="004F6845" w:rsidRPr="00332B98" w:rsidRDefault="004F6845" w:rsidP="004F6845">
            <w:pPr>
              <w:spacing w:line="276" w:lineRule="auto"/>
              <w:contextualSpacing/>
              <w:rPr>
                <w:rFonts w:ascii="Times New Roman" w:eastAsia="Calibri" w:hAnsi="Times New Roman" w:cs="Times New Roman"/>
                <w:b w:val="0"/>
              </w:rPr>
            </w:pPr>
            <w:r w:rsidRPr="00332B98">
              <w:rPr>
                <w:rFonts w:ascii="Times New Roman" w:eastAsia="Calibri" w:hAnsi="Times New Roman" w:cs="Times New Roman"/>
                <w:b w:val="0"/>
              </w:rPr>
              <w:t>Amortizacija ostalih pozicija</w:t>
            </w:r>
          </w:p>
        </w:tc>
        <w:tc>
          <w:tcPr>
            <w:tcW w:w="1696" w:type="dxa"/>
          </w:tcPr>
          <w:p w14:paraId="59878C5A" w14:textId="7499FFE7" w:rsidR="004F6845" w:rsidRPr="00332B98" w:rsidRDefault="004F6845" w:rsidP="004F6845">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32B98">
              <w:rPr>
                <w:rFonts w:ascii="Times New Roman" w:eastAsia="Calibri" w:hAnsi="Times New Roman" w:cs="Times New Roman"/>
              </w:rPr>
              <w:t>312.900</w:t>
            </w:r>
          </w:p>
        </w:tc>
        <w:tc>
          <w:tcPr>
            <w:tcW w:w="1564" w:type="dxa"/>
          </w:tcPr>
          <w:p w14:paraId="4020396E" w14:textId="3983A0F2" w:rsidR="004F6845" w:rsidRPr="00332B98" w:rsidRDefault="004F6845" w:rsidP="004F6845">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32B98">
              <w:rPr>
                <w:rFonts w:ascii="Times New Roman" w:eastAsia="Calibri" w:hAnsi="Times New Roman" w:cs="Times New Roman"/>
              </w:rPr>
              <w:t>312.710</w:t>
            </w:r>
          </w:p>
        </w:tc>
        <w:tc>
          <w:tcPr>
            <w:tcW w:w="882" w:type="dxa"/>
          </w:tcPr>
          <w:p w14:paraId="2F47F78B" w14:textId="12D29BB4" w:rsidR="004F6845" w:rsidRPr="00332B98" w:rsidRDefault="00BD32E1" w:rsidP="004F6845">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100</w:t>
            </w:r>
          </w:p>
        </w:tc>
      </w:tr>
      <w:tr w:rsidR="004F6845" w:rsidRPr="00332B98" w14:paraId="4DFAC4C1" w14:textId="77777777" w:rsidTr="00803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04BB5188" w14:textId="3BB36E5E" w:rsidR="004F6845" w:rsidRPr="00332B98" w:rsidRDefault="004F6845" w:rsidP="004F6845">
            <w:pPr>
              <w:spacing w:line="276" w:lineRule="auto"/>
              <w:contextualSpacing/>
              <w:rPr>
                <w:rFonts w:ascii="Times New Roman" w:eastAsia="Calibri" w:hAnsi="Times New Roman" w:cs="Times New Roman"/>
              </w:rPr>
            </w:pPr>
            <w:r w:rsidRPr="00332B98">
              <w:rPr>
                <w:rFonts w:ascii="Times New Roman" w:eastAsia="Calibri" w:hAnsi="Times New Roman" w:cs="Times New Roman"/>
              </w:rPr>
              <w:t>Ukupno troškovi amortizacije</w:t>
            </w:r>
          </w:p>
        </w:tc>
        <w:tc>
          <w:tcPr>
            <w:tcW w:w="1696" w:type="dxa"/>
          </w:tcPr>
          <w:p w14:paraId="2133700D" w14:textId="52FB3E59" w:rsidR="004F6845" w:rsidRPr="00332B98" w:rsidRDefault="004F6845" w:rsidP="004F6845">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332B98">
              <w:rPr>
                <w:rFonts w:ascii="Times New Roman" w:eastAsia="Calibri" w:hAnsi="Times New Roman" w:cs="Times New Roman"/>
                <w:b/>
              </w:rPr>
              <w:t>482.561</w:t>
            </w:r>
          </w:p>
        </w:tc>
        <w:tc>
          <w:tcPr>
            <w:tcW w:w="1564" w:type="dxa"/>
          </w:tcPr>
          <w:p w14:paraId="4D5E6B8D" w14:textId="4A8E9A99" w:rsidR="004F6845" w:rsidRPr="00332B98" w:rsidRDefault="004F6845" w:rsidP="004F6845">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332B98">
              <w:rPr>
                <w:rFonts w:ascii="Times New Roman" w:eastAsia="Calibri" w:hAnsi="Times New Roman" w:cs="Times New Roman"/>
                <w:b/>
              </w:rPr>
              <w:t>494.484</w:t>
            </w:r>
          </w:p>
        </w:tc>
        <w:tc>
          <w:tcPr>
            <w:tcW w:w="882" w:type="dxa"/>
          </w:tcPr>
          <w:p w14:paraId="3A50EF58" w14:textId="34ABF5CC" w:rsidR="004F6845" w:rsidRPr="00332B98" w:rsidRDefault="00BD32E1" w:rsidP="004F6845">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Pr>
                <w:rFonts w:ascii="Times New Roman" w:eastAsia="Calibri" w:hAnsi="Times New Roman" w:cs="Times New Roman"/>
                <w:b/>
              </w:rPr>
              <w:t>102</w:t>
            </w:r>
          </w:p>
        </w:tc>
      </w:tr>
    </w:tbl>
    <w:p w14:paraId="285B0C63" w14:textId="77777777" w:rsidR="002E7078" w:rsidRPr="00332B98" w:rsidRDefault="002E7078" w:rsidP="002E7078">
      <w:pPr>
        <w:spacing w:after="0" w:line="240" w:lineRule="auto"/>
        <w:rPr>
          <w:rFonts w:ascii="Times New Roman" w:eastAsia="Times New Roman" w:hAnsi="Times New Roman" w:cs="Times New Roman"/>
        </w:rPr>
      </w:pPr>
    </w:p>
    <w:p w14:paraId="320BB502" w14:textId="77777777" w:rsidR="002E7078" w:rsidRPr="00332B98" w:rsidRDefault="002E7078" w:rsidP="00C80C1F">
      <w:pPr>
        <w:pStyle w:val="ListParagraph"/>
        <w:ind w:left="0"/>
        <w:jc w:val="both"/>
        <w:rPr>
          <w:rFonts w:ascii="Times New Roman" w:hAnsi="Times New Roman"/>
          <w:b/>
          <w:bCs/>
        </w:rPr>
      </w:pPr>
    </w:p>
    <w:p w14:paraId="42CA70E6" w14:textId="2666320A" w:rsidR="004F6845" w:rsidRPr="00332B98" w:rsidRDefault="009845E6" w:rsidP="004F6845">
      <w:pPr>
        <w:contextualSpacing/>
        <w:jc w:val="both"/>
        <w:rPr>
          <w:rFonts w:ascii="Times New Roman" w:eastAsia="Calibri" w:hAnsi="Times New Roman" w:cs="Times New Roman"/>
        </w:rPr>
      </w:pPr>
      <w:r w:rsidRPr="00332B98">
        <w:rPr>
          <w:rFonts w:ascii="Times New Roman" w:eastAsia="Calibri" w:hAnsi="Times New Roman" w:cs="Times New Roman"/>
          <w:b/>
          <w:bCs/>
        </w:rPr>
        <w:t>Troškovi amortizacije</w:t>
      </w:r>
      <w:r w:rsidRPr="00332B98">
        <w:rPr>
          <w:rFonts w:ascii="Times New Roman" w:eastAsia="Calibri" w:hAnsi="Times New Roman" w:cs="Times New Roman"/>
        </w:rPr>
        <w:t xml:space="preserve"> </w:t>
      </w:r>
      <w:r w:rsidR="004F6845" w:rsidRPr="00332B98">
        <w:rPr>
          <w:rFonts w:ascii="Times New Roman" w:eastAsia="Calibri" w:hAnsi="Times New Roman" w:cs="Times New Roman"/>
        </w:rPr>
        <w:t>iznose 494.484 kn te su za 3% veći u odnosu na 2021. godine radi nabave nove opreme.</w:t>
      </w:r>
    </w:p>
    <w:p w14:paraId="18105B25" w14:textId="7AB9BE67" w:rsidR="009845E6" w:rsidRPr="00332B98" w:rsidRDefault="009845E6" w:rsidP="009845E6">
      <w:pPr>
        <w:spacing w:after="0" w:line="276" w:lineRule="auto"/>
        <w:contextualSpacing/>
        <w:jc w:val="both"/>
        <w:rPr>
          <w:rFonts w:ascii="Times New Roman" w:eastAsia="Calibri" w:hAnsi="Times New Roman" w:cs="Times New Roman"/>
        </w:rPr>
      </w:pPr>
    </w:p>
    <w:p w14:paraId="618448BE" w14:textId="77777777" w:rsidR="00BB5090" w:rsidRPr="00332B98" w:rsidRDefault="00BB5090" w:rsidP="00866994">
      <w:pPr>
        <w:pStyle w:val="ListParagraph"/>
        <w:ind w:left="0"/>
        <w:jc w:val="both"/>
        <w:rPr>
          <w:rFonts w:ascii="Times New Roman" w:eastAsia="Times New Roman" w:hAnsi="Times New Roman"/>
          <w:b/>
        </w:rPr>
      </w:pPr>
    </w:p>
    <w:p w14:paraId="6987FB29" w14:textId="2B65DACB" w:rsidR="00763305" w:rsidRPr="00332B98" w:rsidRDefault="00131D13" w:rsidP="00866994">
      <w:pPr>
        <w:pStyle w:val="ListParagraph"/>
        <w:ind w:left="0"/>
        <w:jc w:val="both"/>
        <w:rPr>
          <w:rFonts w:ascii="Times New Roman" w:eastAsia="Times New Roman" w:hAnsi="Times New Roman"/>
          <w:b/>
        </w:rPr>
      </w:pPr>
      <w:r w:rsidRPr="00332B98">
        <w:rPr>
          <w:rFonts w:ascii="Times New Roman" w:eastAsia="Times New Roman" w:hAnsi="Times New Roman"/>
          <w:b/>
        </w:rPr>
        <w:t>Bilješka 2</w:t>
      </w:r>
      <w:r w:rsidR="00137795" w:rsidRPr="00332B98">
        <w:rPr>
          <w:rFonts w:ascii="Times New Roman" w:eastAsia="Times New Roman" w:hAnsi="Times New Roman"/>
          <w:b/>
        </w:rPr>
        <w:t>1</w:t>
      </w:r>
      <w:r w:rsidRPr="00332B98">
        <w:rPr>
          <w:rFonts w:ascii="Times New Roman" w:eastAsia="Times New Roman" w:hAnsi="Times New Roman"/>
          <w:b/>
        </w:rPr>
        <w:t>.</w:t>
      </w:r>
      <w:r w:rsidR="00763305" w:rsidRPr="00332B98">
        <w:rPr>
          <w:rFonts w:ascii="Times New Roman" w:eastAsia="Times New Roman" w:hAnsi="Times New Roman"/>
          <w:b/>
        </w:rPr>
        <w:t xml:space="preserve"> Ostali troškovi</w:t>
      </w:r>
    </w:p>
    <w:p w14:paraId="4C57031C" w14:textId="77777777" w:rsidR="00763305" w:rsidRPr="00332B98" w:rsidRDefault="00763305" w:rsidP="00866994">
      <w:pPr>
        <w:pStyle w:val="ListParagraph"/>
        <w:ind w:left="0"/>
        <w:jc w:val="both"/>
        <w:rPr>
          <w:rFonts w:ascii="Times New Roman" w:eastAsia="Times New Roman" w:hAnsi="Times New Roman"/>
          <w:b/>
        </w:rPr>
      </w:pPr>
    </w:p>
    <w:p w14:paraId="473609DE" w14:textId="72255231" w:rsidR="004F6845" w:rsidRPr="00332B98" w:rsidRDefault="00131D13" w:rsidP="004F6845">
      <w:pPr>
        <w:contextualSpacing/>
        <w:jc w:val="both"/>
        <w:rPr>
          <w:rFonts w:ascii="Times New Roman" w:eastAsia="Calibri" w:hAnsi="Times New Roman" w:cs="Times New Roman"/>
        </w:rPr>
      </w:pPr>
      <w:r w:rsidRPr="00332B98">
        <w:rPr>
          <w:rFonts w:ascii="Times New Roman" w:eastAsia="Times New Roman" w:hAnsi="Times New Roman" w:cs="Times New Roman"/>
          <w:b/>
        </w:rPr>
        <w:t>Ostali troškovi</w:t>
      </w:r>
      <w:r w:rsidR="00866994" w:rsidRPr="00332B98">
        <w:rPr>
          <w:rFonts w:ascii="Times New Roman" w:eastAsia="Times New Roman" w:hAnsi="Times New Roman" w:cs="Times New Roman"/>
          <w:b/>
        </w:rPr>
        <w:t xml:space="preserve"> </w:t>
      </w:r>
      <w:r w:rsidR="004F6845" w:rsidRPr="00332B98">
        <w:rPr>
          <w:rFonts w:ascii="Times New Roman" w:eastAsia="Calibri" w:hAnsi="Times New Roman" w:cs="Times New Roman"/>
        </w:rPr>
        <w:t>iznose 776.917 kn, a obuhvaćaju troškove reprezentacije, troškove dnevnica i putnih troškova na službenim putovanjima,  troškove poreza koji ne ovise o rezultatu,  naknada i članarina, stručnu literaturu i obrazovanje,  ostale nespecificirane troškove poslovanja</w:t>
      </w:r>
      <w:r w:rsidR="00F342AB" w:rsidRPr="00332B98">
        <w:rPr>
          <w:rFonts w:ascii="Times New Roman" w:eastAsia="Calibri" w:hAnsi="Times New Roman" w:cs="Times New Roman"/>
        </w:rPr>
        <w:t>, potpore i nagrade radnicima (neoporezivo), te neoporeziv iznos otpremnina za odlazak radnika u mirovinu</w:t>
      </w:r>
      <w:r w:rsidR="004F6845" w:rsidRPr="00332B98">
        <w:rPr>
          <w:rFonts w:ascii="Times New Roman" w:eastAsia="Calibri" w:hAnsi="Times New Roman" w:cs="Times New Roman"/>
        </w:rPr>
        <w:t>. U odnosu na 202</w:t>
      </w:r>
      <w:r w:rsidR="00F342AB" w:rsidRPr="00332B98">
        <w:rPr>
          <w:rFonts w:ascii="Times New Roman" w:eastAsia="Calibri" w:hAnsi="Times New Roman" w:cs="Times New Roman"/>
        </w:rPr>
        <w:t>2</w:t>
      </w:r>
      <w:r w:rsidR="004F6845" w:rsidRPr="00332B98">
        <w:rPr>
          <w:rFonts w:ascii="Times New Roman" w:eastAsia="Calibri" w:hAnsi="Times New Roman" w:cs="Times New Roman"/>
        </w:rPr>
        <w:t xml:space="preserve">. godinu bilježe povećanje od </w:t>
      </w:r>
      <w:r w:rsidR="00F342AB" w:rsidRPr="00332B98">
        <w:rPr>
          <w:rFonts w:ascii="Times New Roman" w:eastAsia="Calibri" w:hAnsi="Times New Roman" w:cs="Times New Roman"/>
        </w:rPr>
        <w:t>25</w:t>
      </w:r>
      <w:r w:rsidR="004F6845" w:rsidRPr="00332B98">
        <w:rPr>
          <w:rFonts w:ascii="Times New Roman" w:eastAsia="Calibri" w:hAnsi="Times New Roman" w:cs="Times New Roman"/>
        </w:rPr>
        <w:t xml:space="preserve">% </w:t>
      </w:r>
    </w:p>
    <w:p w14:paraId="74D2ABBC" w14:textId="77777777" w:rsidR="004F6845" w:rsidRPr="00332B98" w:rsidRDefault="004F6845" w:rsidP="00866994">
      <w:pPr>
        <w:pStyle w:val="ListParagraph"/>
        <w:ind w:left="0"/>
        <w:jc w:val="both"/>
        <w:rPr>
          <w:rFonts w:ascii="Times New Roman" w:eastAsia="Times New Roman" w:hAnsi="Times New Roman"/>
          <w:b/>
        </w:rPr>
      </w:pPr>
    </w:p>
    <w:p w14:paraId="620DA194" w14:textId="401702D2" w:rsidR="00763305" w:rsidRPr="00332B98" w:rsidRDefault="00131D13" w:rsidP="00131D13">
      <w:pPr>
        <w:spacing w:after="0" w:line="240" w:lineRule="auto"/>
        <w:rPr>
          <w:rFonts w:ascii="Times New Roman" w:eastAsia="Times New Roman" w:hAnsi="Times New Roman" w:cs="Times New Roman"/>
          <w:b/>
        </w:rPr>
      </w:pPr>
      <w:r w:rsidRPr="00332B98">
        <w:rPr>
          <w:rFonts w:ascii="Times New Roman" w:eastAsia="Times New Roman" w:hAnsi="Times New Roman" w:cs="Times New Roman"/>
          <w:b/>
        </w:rPr>
        <w:t>Bilješka 2</w:t>
      </w:r>
      <w:r w:rsidR="00137795" w:rsidRPr="00332B98">
        <w:rPr>
          <w:rFonts w:ascii="Times New Roman" w:eastAsia="Times New Roman" w:hAnsi="Times New Roman" w:cs="Times New Roman"/>
          <w:b/>
        </w:rPr>
        <w:t>2</w:t>
      </w:r>
      <w:r w:rsidRPr="00332B98">
        <w:rPr>
          <w:rFonts w:ascii="Times New Roman" w:eastAsia="Times New Roman" w:hAnsi="Times New Roman" w:cs="Times New Roman"/>
          <w:b/>
        </w:rPr>
        <w:t>.</w:t>
      </w:r>
      <w:r w:rsidR="00763305" w:rsidRPr="00332B98">
        <w:rPr>
          <w:rFonts w:ascii="Times New Roman" w:eastAsia="Times New Roman" w:hAnsi="Times New Roman" w:cs="Times New Roman"/>
          <w:b/>
        </w:rPr>
        <w:t xml:space="preserve"> Vrijednosna usklađenja</w:t>
      </w:r>
    </w:p>
    <w:p w14:paraId="62ADC979" w14:textId="4960C23A" w:rsidR="00763305" w:rsidRPr="00332B98" w:rsidRDefault="00763305" w:rsidP="00131D13">
      <w:pPr>
        <w:spacing w:after="0" w:line="240" w:lineRule="auto"/>
        <w:rPr>
          <w:rFonts w:ascii="Times New Roman" w:eastAsia="Times New Roman" w:hAnsi="Times New Roman" w:cs="Times New Roman"/>
          <w:b/>
        </w:rPr>
      </w:pPr>
    </w:p>
    <w:p w14:paraId="20081732" w14:textId="69D4E433" w:rsidR="009845E6" w:rsidRPr="00332B98" w:rsidRDefault="009845E6" w:rsidP="00131D13">
      <w:pPr>
        <w:spacing w:after="0" w:line="240" w:lineRule="auto"/>
        <w:rPr>
          <w:rFonts w:ascii="Times New Roman" w:eastAsia="Times New Roman" w:hAnsi="Times New Roman" w:cs="Times New Roman"/>
        </w:rPr>
      </w:pPr>
      <w:r w:rsidRPr="00332B98">
        <w:rPr>
          <w:rFonts w:ascii="Times New Roman" w:eastAsia="Times New Roman" w:hAnsi="Times New Roman" w:cs="Times New Roman"/>
        </w:rPr>
        <w:t>U 202</w:t>
      </w:r>
      <w:r w:rsidR="00F342AB" w:rsidRPr="00332B98">
        <w:rPr>
          <w:rFonts w:ascii="Times New Roman" w:eastAsia="Times New Roman" w:hAnsi="Times New Roman" w:cs="Times New Roman"/>
        </w:rPr>
        <w:t>2</w:t>
      </w:r>
      <w:r w:rsidRPr="00332B98">
        <w:rPr>
          <w:rFonts w:ascii="Times New Roman" w:eastAsia="Times New Roman" w:hAnsi="Times New Roman" w:cs="Times New Roman"/>
        </w:rPr>
        <w:t xml:space="preserve">. godini </w:t>
      </w:r>
      <w:r w:rsidR="00C92746" w:rsidRPr="00332B98">
        <w:rPr>
          <w:rFonts w:ascii="Times New Roman" w:eastAsia="Times New Roman" w:hAnsi="Times New Roman" w:cs="Times New Roman"/>
        </w:rPr>
        <w:t xml:space="preserve">na poziciji vrijednosni usklađenja </w:t>
      </w:r>
      <w:r w:rsidR="00F342AB" w:rsidRPr="00332B98">
        <w:rPr>
          <w:rFonts w:ascii="Times New Roman" w:eastAsia="Times New Roman" w:hAnsi="Times New Roman" w:cs="Times New Roman"/>
        </w:rPr>
        <w:t>iskazano je 182.698 kn i to vrijednosno usklađenje potraživanja od kupaca</w:t>
      </w:r>
      <w:r w:rsidR="00C92746" w:rsidRPr="00332B98">
        <w:rPr>
          <w:rFonts w:ascii="Times New Roman" w:eastAsia="Times New Roman" w:hAnsi="Times New Roman" w:cs="Times New Roman"/>
        </w:rPr>
        <w:t>.</w:t>
      </w:r>
      <w:r w:rsidRPr="00332B98">
        <w:rPr>
          <w:rFonts w:ascii="Times New Roman" w:eastAsia="Times New Roman" w:hAnsi="Times New Roman" w:cs="Times New Roman"/>
        </w:rPr>
        <w:t xml:space="preserve"> </w:t>
      </w:r>
    </w:p>
    <w:p w14:paraId="50C443EA" w14:textId="2A5E1D5C" w:rsidR="00131D13" w:rsidRPr="00332B98" w:rsidRDefault="00131D13" w:rsidP="00131D13">
      <w:pPr>
        <w:spacing w:after="0" w:line="276" w:lineRule="auto"/>
        <w:contextualSpacing/>
        <w:jc w:val="both"/>
        <w:rPr>
          <w:rFonts w:ascii="Times New Roman" w:eastAsia="Calibri" w:hAnsi="Times New Roman" w:cs="Times New Roman"/>
          <w:b/>
          <w:bCs/>
          <w:color w:val="17365D"/>
        </w:rPr>
      </w:pPr>
    </w:p>
    <w:p w14:paraId="146E59E7" w14:textId="77777777" w:rsidR="00131D13" w:rsidRPr="00332B98" w:rsidRDefault="00131D13" w:rsidP="00131D13">
      <w:pPr>
        <w:spacing w:after="0" w:line="240" w:lineRule="auto"/>
        <w:rPr>
          <w:rFonts w:ascii="Times New Roman" w:eastAsia="Times New Roman" w:hAnsi="Times New Roman" w:cs="Times New Roman"/>
          <w:b/>
        </w:rPr>
      </w:pPr>
      <w:r w:rsidRPr="00332B98">
        <w:rPr>
          <w:rFonts w:ascii="Times New Roman" w:eastAsia="Times New Roman" w:hAnsi="Times New Roman" w:cs="Times New Roman"/>
          <w:b/>
        </w:rPr>
        <w:t>Bilješke 2</w:t>
      </w:r>
      <w:r w:rsidR="00137795" w:rsidRPr="00332B98">
        <w:rPr>
          <w:rFonts w:ascii="Times New Roman" w:eastAsia="Times New Roman" w:hAnsi="Times New Roman" w:cs="Times New Roman"/>
          <w:b/>
        </w:rPr>
        <w:t>3</w:t>
      </w:r>
      <w:r w:rsidRPr="00332B98">
        <w:rPr>
          <w:rFonts w:ascii="Times New Roman" w:eastAsia="Times New Roman" w:hAnsi="Times New Roman" w:cs="Times New Roman"/>
          <w:b/>
        </w:rPr>
        <w:t>. Rezerviranja</w:t>
      </w:r>
    </w:p>
    <w:p w14:paraId="687BA9FD" w14:textId="77777777" w:rsidR="00131D13" w:rsidRPr="00332B98" w:rsidRDefault="00131D13" w:rsidP="00131D13">
      <w:pPr>
        <w:spacing w:after="0" w:line="240" w:lineRule="auto"/>
        <w:rPr>
          <w:rFonts w:ascii="Times New Roman" w:eastAsia="Times New Roman" w:hAnsi="Times New Roman" w:cs="Times New Roman"/>
          <w:b/>
        </w:rPr>
      </w:pPr>
    </w:p>
    <w:p w14:paraId="707C9DA0" w14:textId="5E4CEE35" w:rsidR="00F342AB" w:rsidRPr="00332B98" w:rsidRDefault="00F23061" w:rsidP="00F342AB">
      <w:pPr>
        <w:contextualSpacing/>
        <w:jc w:val="both"/>
        <w:rPr>
          <w:rFonts w:ascii="Times New Roman" w:eastAsia="Calibri" w:hAnsi="Times New Roman" w:cs="Times New Roman"/>
        </w:rPr>
      </w:pPr>
      <w:r w:rsidRPr="00332B98">
        <w:rPr>
          <w:rFonts w:ascii="Times New Roman" w:eastAsia="Times New Roman" w:hAnsi="Times New Roman" w:cs="Times New Roman"/>
        </w:rPr>
        <w:t>U 202</w:t>
      </w:r>
      <w:r w:rsidR="00F342AB" w:rsidRPr="00332B98">
        <w:rPr>
          <w:rFonts w:ascii="Times New Roman" w:eastAsia="Times New Roman" w:hAnsi="Times New Roman" w:cs="Times New Roman"/>
        </w:rPr>
        <w:t>2</w:t>
      </w:r>
      <w:r w:rsidRPr="00332B98">
        <w:rPr>
          <w:rFonts w:ascii="Times New Roman" w:eastAsia="Times New Roman" w:hAnsi="Times New Roman" w:cs="Times New Roman"/>
        </w:rPr>
        <w:t>.</w:t>
      </w:r>
      <w:r w:rsidR="00F342AB" w:rsidRPr="00332B98">
        <w:rPr>
          <w:rFonts w:ascii="Times New Roman" w:eastAsia="Times New Roman" w:hAnsi="Times New Roman" w:cs="Times New Roman"/>
        </w:rPr>
        <w:t xml:space="preserve"> godini na poziciji rezerviranja iskazano je 83.920 kn i to za </w:t>
      </w:r>
      <w:r w:rsidR="00F342AB" w:rsidRPr="00332B98">
        <w:rPr>
          <w:rFonts w:ascii="Times New Roman" w:eastAsia="Calibri" w:hAnsi="Times New Roman" w:cs="Times New Roman"/>
        </w:rPr>
        <w:t xml:space="preserve"> troškove sudskog spora u iznosu od 50.000 kn i trošak rezerviranja za mirovinu u iznosu od 33.920 kn.</w:t>
      </w:r>
    </w:p>
    <w:p w14:paraId="77B7E6DA" w14:textId="77777777" w:rsidR="00F342AB" w:rsidRPr="00F342AB" w:rsidRDefault="00F342AB" w:rsidP="00F342AB">
      <w:pPr>
        <w:spacing w:after="0" w:line="276" w:lineRule="auto"/>
        <w:contextualSpacing/>
        <w:jc w:val="both"/>
        <w:rPr>
          <w:rFonts w:ascii="Times New Roman" w:eastAsia="Times New Roman" w:hAnsi="Times New Roman" w:cs="Times New Roman"/>
          <w:noProof/>
          <w:color w:val="FF0000"/>
        </w:rPr>
      </w:pPr>
    </w:p>
    <w:p w14:paraId="346E3FF6" w14:textId="1509500D" w:rsidR="00422B5C" w:rsidRPr="00332B98" w:rsidRDefault="00422B5C" w:rsidP="005364B4">
      <w:pPr>
        <w:spacing w:after="0" w:line="240" w:lineRule="auto"/>
        <w:jc w:val="right"/>
        <w:rPr>
          <w:rFonts w:ascii="Times New Roman" w:eastAsia="Times New Roman" w:hAnsi="Times New Roman" w:cs="Times New Roman"/>
        </w:rPr>
      </w:pPr>
    </w:p>
    <w:p w14:paraId="252301DB" w14:textId="77777777" w:rsidR="00131D13" w:rsidRPr="00332B98" w:rsidRDefault="00131D13" w:rsidP="00131D13">
      <w:pPr>
        <w:spacing w:after="0" w:line="240" w:lineRule="auto"/>
        <w:rPr>
          <w:rFonts w:ascii="Times New Roman" w:eastAsia="Times New Roman" w:hAnsi="Times New Roman" w:cs="Times New Roman"/>
          <w:b/>
        </w:rPr>
      </w:pPr>
      <w:r w:rsidRPr="00332B98">
        <w:rPr>
          <w:rFonts w:ascii="Times New Roman" w:eastAsia="Times New Roman" w:hAnsi="Times New Roman" w:cs="Times New Roman"/>
          <w:b/>
        </w:rPr>
        <w:t>Bilješka 2</w:t>
      </w:r>
      <w:r w:rsidR="00137795" w:rsidRPr="00332B98">
        <w:rPr>
          <w:rFonts w:ascii="Times New Roman" w:eastAsia="Times New Roman" w:hAnsi="Times New Roman" w:cs="Times New Roman"/>
          <w:b/>
        </w:rPr>
        <w:t>4</w:t>
      </w:r>
      <w:r w:rsidRPr="00332B98">
        <w:rPr>
          <w:rFonts w:ascii="Times New Roman" w:eastAsia="Times New Roman" w:hAnsi="Times New Roman" w:cs="Times New Roman"/>
          <w:b/>
        </w:rPr>
        <w:t>. Ostali poslovni rashodi</w:t>
      </w:r>
    </w:p>
    <w:p w14:paraId="4B0AF97D" w14:textId="77777777" w:rsidR="00131D13" w:rsidRPr="00332B98" w:rsidRDefault="00131D13" w:rsidP="00131D13">
      <w:pPr>
        <w:spacing w:after="0" w:line="240" w:lineRule="auto"/>
        <w:rPr>
          <w:rFonts w:ascii="Times New Roman" w:eastAsia="Times New Roman" w:hAnsi="Times New Roman" w:cs="Times New Roman"/>
        </w:rPr>
      </w:pPr>
    </w:p>
    <w:p w14:paraId="7F11FC75" w14:textId="78577BD2" w:rsidR="00131D13" w:rsidRPr="00332B98" w:rsidRDefault="00131D13" w:rsidP="00131D13">
      <w:pPr>
        <w:spacing w:after="0" w:line="240" w:lineRule="auto"/>
        <w:rPr>
          <w:rFonts w:ascii="Times New Roman" w:eastAsia="Times New Roman" w:hAnsi="Times New Roman" w:cs="Times New Roman"/>
        </w:rPr>
      </w:pPr>
      <w:r w:rsidRPr="00332B98">
        <w:rPr>
          <w:rFonts w:ascii="Times New Roman" w:eastAsia="Times New Roman" w:hAnsi="Times New Roman" w:cs="Times New Roman"/>
        </w:rPr>
        <w:t>Strukturu ostalih poslovnih rashoda u 20</w:t>
      </w:r>
      <w:r w:rsidR="00F23061" w:rsidRPr="00332B98">
        <w:rPr>
          <w:rFonts w:ascii="Times New Roman" w:eastAsia="Times New Roman" w:hAnsi="Times New Roman" w:cs="Times New Roman"/>
        </w:rPr>
        <w:t>2</w:t>
      </w:r>
      <w:r w:rsidR="00781326" w:rsidRPr="00332B98">
        <w:rPr>
          <w:rFonts w:ascii="Times New Roman" w:eastAsia="Times New Roman" w:hAnsi="Times New Roman" w:cs="Times New Roman"/>
        </w:rPr>
        <w:t>2</w:t>
      </w:r>
      <w:r w:rsidRPr="00332B98">
        <w:rPr>
          <w:rFonts w:ascii="Times New Roman" w:eastAsia="Times New Roman" w:hAnsi="Times New Roman" w:cs="Times New Roman"/>
        </w:rPr>
        <w:t xml:space="preserve">. godini </w:t>
      </w:r>
      <w:r w:rsidR="007A7CCE" w:rsidRPr="00332B98">
        <w:rPr>
          <w:rFonts w:ascii="Times New Roman" w:eastAsia="Times New Roman" w:hAnsi="Times New Roman" w:cs="Times New Roman"/>
        </w:rPr>
        <w:t xml:space="preserve">u iznosu od  </w:t>
      </w:r>
      <w:r w:rsidR="00781326" w:rsidRPr="00332B98">
        <w:rPr>
          <w:rFonts w:ascii="Times New Roman" w:eastAsia="Times New Roman" w:hAnsi="Times New Roman" w:cs="Times New Roman"/>
        </w:rPr>
        <w:t>73.502</w:t>
      </w:r>
      <w:r w:rsidR="007A7CCE" w:rsidRPr="00332B98">
        <w:rPr>
          <w:rFonts w:ascii="Times New Roman" w:eastAsia="Times New Roman" w:hAnsi="Times New Roman" w:cs="Times New Roman"/>
        </w:rPr>
        <w:t xml:space="preserve"> kn čine  darovanja, manjkovi, kazne</w:t>
      </w:r>
      <w:r w:rsidRPr="00332B98">
        <w:rPr>
          <w:rFonts w:ascii="Times New Roman" w:eastAsia="Times New Roman" w:hAnsi="Times New Roman" w:cs="Times New Roman"/>
        </w:rPr>
        <w:t xml:space="preserve">. </w:t>
      </w:r>
    </w:p>
    <w:p w14:paraId="700F22B7" w14:textId="77777777" w:rsidR="00131D13" w:rsidRPr="00332B98" w:rsidRDefault="00131D13" w:rsidP="00131D13">
      <w:pPr>
        <w:spacing w:after="0" w:line="240" w:lineRule="auto"/>
        <w:rPr>
          <w:rFonts w:ascii="Times New Roman" w:eastAsia="Times New Roman" w:hAnsi="Times New Roman" w:cs="Times New Roman"/>
          <w:b/>
        </w:rPr>
      </w:pPr>
    </w:p>
    <w:p w14:paraId="0FB3BD65" w14:textId="77777777" w:rsidR="00131D13" w:rsidRPr="00332B98" w:rsidRDefault="00131D13" w:rsidP="00131D13">
      <w:pPr>
        <w:spacing w:after="0" w:line="240" w:lineRule="auto"/>
        <w:rPr>
          <w:rFonts w:ascii="Times New Roman" w:eastAsia="Times New Roman" w:hAnsi="Times New Roman" w:cs="Times New Roman"/>
          <w:b/>
        </w:rPr>
      </w:pPr>
      <w:r w:rsidRPr="00332B98">
        <w:rPr>
          <w:rFonts w:ascii="Times New Roman" w:eastAsia="Times New Roman" w:hAnsi="Times New Roman" w:cs="Times New Roman"/>
          <w:b/>
        </w:rPr>
        <w:t>Bilješka 2</w:t>
      </w:r>
      <w:r w:rsidR="00137795" w:rsidRPr="00332B98">
        <w:rPr>
          <w:rFonts w:ascii="Times New Roman" w:eastAsia="Times New Roman" w:hAnsi="Times New Roman" w:cs="Times New Roman"/>
          <w:b/>
        </w:rPr>
        <w:t>5</w:t>
      </w:r>
      <w:r w:rsidRPr="00332B98">
        <w:rPr>
          <w:rFonts w:ascii="Times New Roman" w:eastAsia="Times New Roman" w:hAnsi="Times New Roman" w:cs="Times New Roman"/>
          <w:b/>
        </w:rPr>
        <w:t>. Financijski prihodi</w:t>
      </w:r>
    </w:p>
    <w:p w14:paraId="3E3A0DF2" w14:textId="77777777" w:rsidR="003E28E9" w:rsidRPr="00332B98" w:rsidRDefault="003E28E9" w:rsidP="001B4644">
      <w:pPr>
        <w:spacing w:after="0" w:line="276" w:lineRule="auto"/>
        <w:jc w:val="both"/>
        <w:rPr>
          <w:rFonts w:ascii="Times New Roman" w:eastAsia="Calibri" w:hAnsi="Times New Roman" w:cs="Times New Roman"/>
          <w:b/>
          <w:bCs/>
        </w:rPr>
      </w:pPr>
    </w:p>
    <w:p w14:paraId="23934F86" w14:textId="04E555F9" w:rsidR="001B4644" w:rsidRPr="00332B98" w:rsidRDefault="001B4644" w:rsidP="001B4644">
      <w:pPr>
        <w:spacing w:after="0" w:line="276" w:lineRule="auto"/>
        <w:jc w:val="both"/>
        <w:rPr>
          <w:rFonts w:ascii="Times New Roman" w:eastAsia="Calibri" w:hAnsi="Times New Roman" w:cs="Times New Roman"/>
          <w:b/>
          <w:bCs/>
        </w:rPr>
      </w:pPr>
      <w:r w:rsidRPr="00332B98">
        <w:rPr>
          <w:rFonts w:ascii="Times New Roman" w:eastAsia="Calibri" w:hAnsi="Times New Roman" w:cs="Times New Roman"/>
          <w:b/>
          <w:bCs/>
        </w:rPr>
        <w:t xml:space="preserve">Financijski prihodi </w:t>
      </w:r>
      <w:r w:rsidRPr="00332B98">
        <w:rPr>
          <w:rFonts w:ascii="Times New Roman" w:eastAsia="Calibri" w:hAnsi="Times New Roman" w:cs="Times New Roman"/>
          <w:bCs/>
        </w:rPr>
        <w:t xml:space="preserve">ostvareni su u iznosu od </w:t>
      </w:r>
      <w:r w:rsidR="00C92746" w:rsidRPr="00332B98">
        <w:rPr>
          <w:rFonts w:ascii="Times New Roman" w:eastAsia="Calibri" w:hAnsi="Times New Roman" w:cs="Times New Roman"/>
          <w:bCs/>
        </w:rPr>
        <w:t>5</w:t>
      </w:r>
      <w:r w:rsidR="00781326" w:rsidRPr="00332B98">
        <w:rPr>
          <w:rFonts w:ascii="Times New Roman" w:eastAsia="Calibri" w:hAnsi="Times New Roman" w:cs="Times New Roman"/>
          <w:bCs/>
        </w:rPr>
        <w:t>1.593</w:t>
      </w:r>
      <w:r w:rsidRPr="00332B98">
        <w:rPr>
          <w:rFonts w:ascii="Times New Roman" w:eastAsia="Calibri" w:hAnsi="Times New Roman" w:cs="Times New Roman"/>
          <w:bCs/>
        </w:rPr>
        <w:t xml:space="preserve"> kn, a odnose se na prihode od redovnih kamata (</w:t>
      </w:r>
      <w:r w:rsidR="00781326" w:rsidRPr="00332B98">
        <w:rPr>
          <w:rFonts w:ascii="Times New Roman" w:eastAsia="Calibri" w:hAnsi="Times New Roman" w:cs="Times New Roman"/>
          <w:bCs/>
        </w:rPr>
        <w:t>24.420</w:t>
      </w:r>
      <w:r w:rsidRPr="00332B98">
        <w:rPr>
          <w:rFonts w:ascii="Times New Roman" w:eastAsia="Calibri" w:hAnsi="Times New Roman" w:cs="Times New Roman"/>
          <w:bCs/>
        </w:rPr>
        <w:t xml:space="preserve"> kn), prihode od zateznih kamata (</w:t>
      </w:r>
      <w:r w:rsidR="00781326" w:rsidRPr="00332B98">
        <w:rPr>
          <w:rFonts w:ascii="Times New Roman" w:eastAsia="Calibri" w:hAnsi="Times New Roman" w:cs="Times New Roman"/>
          <w:bCs/>
        </w:rPr>
        <w:t>23.260</w:t>
      </w:r>
      <w:r w:rsidRPr="00332B98">
        <w:rPr>
          <w:rFonts w:ascii="Times New Roman" w:eastAsia="Calibri" w:hAnsi="Times New Roman" w:cs="Times New Roman"/>
          <w:bCs/>
        </w:rPr>
        <w:t xml:space="preserve"> kn) </w:t>
      </w:r>
      <w:r w:rsidR="00781326" w:rsidRPr="00332B98">
        <w:rPr>
          <w:rFonts w:ascii="Times New Roman" w:eastAsia="Calibri" w:hAnsi="Times New Roman" w:cs="Times New Roman"/>
          <w:bCs/>
        </w:rPr>
        <w:t>,</w:t>
      </w:r>
      <w:r w:rsidRPr="00332B98">
        <w:rPr>
          <w:rFonts w:ascii="Times New Roman" w:eastAsia="Calibri" w:hAnsi="Times New Roman" w:cs="Times New Roman"/>
          <w:bCs/>
        </w:rPr>
        <w:t xml:space="preserve"> ostale financijske prihode (2.</w:t>
      </w:r>
      <w:r w:rsidR="00781326" w:rsidRPr="00332B98">
        <w:rPr>
          <w:rFonts w:ascii="Times New Roman" w:eastAsia="Calibri" w:hAnsi="Times New Roman" w:cs="Times New Roman"/>
          <w:bCs/>
        </w:rPr>
        <w:t>132</w:t>
      </w:r>
      <w:r w:rsidRPr="00332B98">
        <w:rPr>
          <w:rFonts w:ascii="Times New Roman" w:eastAsia="Calibri" w:hAnsi="Times New Roman" w:cs="Times New Roman"/>
          <w:bCs/>
        </w:rPr>
        <w:t xml:space="preserve">  kn</w:t>
      </w:r>
      <w:r w:rsidR="00781326" w:rsidRPr="00332B98">
        <w:rPr>
          <w:rFonts w:ascii="Times New Roman" w:eastAsia="Calibri" w:hAnsi="Times New Roman" w:cs="Times New Roman"/>
          <w:bCs/>
        </w:rPr>
        <w:t>) i tečajne razlike (1.781 kn).</w:t>
      </w:r>
    </w:p>
    <w:p w14:paraId="7D75895B" w14:textId="77777777" w:rsidR="00131D13" w:rsidRPr="00332B98" w:rsidRDefault="00131D13" w:rsidP="00131D13">
      <w:pPr>
        <w:spacing w:after="0" w:line="240" w:lineRule="auto"/>
        <w:rPr>
          <w:rFonts w:ascii="Times New Roman" w:eastAsia="Times New Roman" w:hAnsi="Times New Roman" w:cs="Times New Roman"/>
          <w:b/>
        </w:rPr>
      </w:pPr>
    </w:p>
    <w:p w14:paraId="637565EA" w14:textId="77777777" w:rsidR="00131D13" w:rsidRPr="00332B98" w:rsidRDefault="00131D13" w:rsidP="00131D13">
      <w:pPr>
        <w:spacing w:after="0" w:line="240" w:lineRule="auto"/>
        <w:rPr>
          <w:rFonts w:ascii="Times New Roman" w:eastAsia="Times New Roman" w:hAnsi="Times New Roman" w:cs="Times New Roman"/>
          <w:b/>
        </w:rPr>
      </w:pPr>
    </w:p>
    <w:p w14:paraId="2AE79ED4" w14:textId="77777777" w:rsidR="00BB5090" w:rsidRPr="00332B98" w:rsidRDefault="00BB5090" w:rsidP="00131D13">
      <w:pPr>
        <w:spacing w:after="0" w:line="240" w:lineRule="auto"/>
        <w:rPr>
          <w:rFonts w:ascii="Times New Roman" w:eastAsia="Times New Roman" w:hAnsi="Times New Roman" w:cs="Times New Roman"/>
          <w:b/>
        </w:rPr>
      </w:pPr>
    </w:p>
    <w:p w14:paraId="12C503E2" w14:textId="77777777" w:rsidR="00BB5090" w:rsidRPr="00332B98" w:rsidRDefault="00BB5090" w:rsidP="00131D13">
      <w:pPr>
        <w:spacing w:after="0" w:line="240" w:lineRule="auto"/>
        <w:rPr>
          <w:rFonts w:ascii="Times New Roman" w:eastAsia="Times New Roman" w:hAnsi="Times New Roman" w:cs="Times New Roman"/>
          <w:b/>
        </w:rPr>
      </w:pPr>
    </w:p>
    <w:p w14:paraId="2B32B8EA" w14:textId="53ECAB3E" w:rsidR="00BB5090" w:rsidRPr="00332B98" w:rsidRDefault="00BB5090" w:rsidP="00BB5090">
      <w:pPr>
        <w:spacing w:after="0" w:line="240" w:lineRule="auto"/>
        <w:jc w:val="right"/>
        <w:rPr>
          <w:rFonts w:ascii="Times New Roman" w:eastAsia="Times New Roman" w:hAnsi="Times New Roman" w:cs="Times New Roman"/>
        </w:rPr>
      </w:pPr>
      <w:r w:rsidRPr="00332B98">
        <w:rPr>
          <w:rFonts w:ascii="Times New Roman" w:eastAsia="Times New Roman" w:hAnsi="Times New Roman" w:cs="Times New Roman"/>
        </w:rPr>
        <w:t>13</w:t>
      </w:r>
    </w:p>
    <w:p w14:paraId="29D3AAC2" w14:textId="1EBF2476" w:rsidR="00131D13" w:rsidRPr="00332B98" w:rsidRDefault="00131D13" w:rsidP="00131D13">
      <w:pPr>
        <w:spacing w:after="0" w:line="240" w:lineRule="auto"/>
        <w:rPr>
          <w:rFonts w:ascii="Times New Roman" w:eastAsia="Times New Roman" w:hAnsi="Times New Roman" w:cs="Times New Roman"/>
          <w:b/>
        </w:rPr>
      </w:pPr>
      <w:r w:rsidRPr="00332B98">
        <w:rPr>
          <w:rFonts w:ascii="Times New Roman" w:eastAsia="Times New Roman" w:hAnsi="Times New Roman" w:cs="Times New Roman"/>
          <w:b/>
        </w:rPr>
        <w:lastRenderedPageBreak/>
        <w:t>Bilješka 2</w:t>
      </w:r>
      <w:r w:rsidR="00137795" w:rsidRPr="00332B98">
        <w:rPr>
          <w:rFonts w:ascii="Times New Roman" w:eastAsia="Times New Roman" w:hAnsi="Times New Roman" w:cs="Times New Roman"/>
          <w:b/>
        </w:rPr>
        <w:t>6</w:t>
      </w:r>
      <w:r w:rsidR="00763305" w:rsidRPr="00332B98">
        <w:rPr>
          <w:rFonts w:ascii="Times New Roman" w:eastAsia="Times New Roman" w:hAnsi="Times New Roman" w:cs="Times New Roman"/>
          <w:b/>
        </w:rPr>
        <w:t>.</w:t>
      </w:r>
      <w:r w:rsidRPr="00332B98">
        <w:rPr>
          <w:rFonts w:ascii="Times New Roman" w:eastAsia="Times New Roman" w:hAnsi="Times New Roman" w:cs="Times New Roman"/>
          <w:b/>
        </w:rPr>
        <w:t xml:space="preserve"> Financijski rashodi</w:t>
      </w:r>
    </w:p>
    <w:p w14:paraId="384AABC5" w14:textId="77777777" w:rsidR="00131D13" w:rsidRPr="00332B98" w:rsidRDefault="00131D13" w:rsidP="00131D13">
      <w:pPr>
        <w:spacing w:after="0" w:line="240" w:lineRule="auto"/>
        <w:rPr>
          <w:rFonts w:ascii="Times New Roman" w:eastAsia="Times New Roman" w:hAnsi="Times New Roman" w:cs="Times New Roman"/>
          <w:bCs/>
        </w:rPr>
      </w:pPr>
    </w:p>
    <w:p w14:paraId="293E2731" w14:textId="6D515FF8" w:rsidR="00F23061" w:rsidRPr="00332B98" w:rsidRDefault="00C92746" w:rsidP="00F23061">
      <w:pPr>
        <w:spacing w:after="0" w:line="240" w:lineRule="auto"/>
        <w:rPr>
          <w:rFonts w:ascii="Times New Roman" w:eastAsia="Calibri" w:hAnsi="Times New Roman" w:cs="Times New Roman"/>
        </w:rPr>
      </w:pPr>
      <w:r w:rsidRPr="00332B98">
        <w:rPr>
          <w:rFonts w:ascii="Times New Roman" w:eastAsia="Calibri" w:hAnsi="Times New Roman" w:cs="Times New Roman"/>
          <w:b/>
        </w:rPr>
        <w:t xml:space="preserve">Financijski rashodi </w:t>
      </w:r>
      <w:r w:rsidRPr="00332B98">
        <w:rPr>
          <w:rFonts w:ascii="Times New Roman" w:eastAsia="Calibri" w:hAnsi="Times New Roman" w:cs="Times New Roman"/>
        </w:rPr>
        <w:t xml:space="preserve">iznose </w:t>
      </w:r>
      <w:r w:rsidR="00781326" w:rsidRPr="00332B98">
        <w:rPr>
          <w:rFonts w:ascii="Times New Roman" w:eastAsia="Calibri" w:hAnsi="Times New Roman" w:cs="Times New Roman"/>
        </w:rPr>
        <w:t>65.409</w:t>
      </w:r>
      <w:r w:rsidRPr="00332B98">
        <w:rPr>
          <w:rFonts w:ascii="Times New Roman" w:eastAsia="Calibri" w:hAnsi="Times New Roman" w:cs="Times New Roman"/>
        </w:rPr>
        <w:t xml:space="preserve"> kn od kojih se </w:t>
      </w:r>
      <w:r w:rsidR="00781326" w:rsidRPr="00332B98">
        <w:rPr>
          <w:rFonts w:ascii="Times New Roman" w:eastAsia="Calibri" w:hAnsi="Times New Roman" w:cs="Times New Roman"/>
        </w:rPr>
        <w:t>63.233</w:t>
      </w:r>
      <w:r w:rsidRPr="00332B98">
        <w:rPr>
          <w:rFonts w:ascii="Times New Roman" w:eastAsia="Calibri" w:hAnsi="Times New Roman" w:cs="Times New Roman"/>
        </w:rPr>
        <w:t xml:space="preserve"> kn odnosi se na troškove redovnih kamata po kreditu podignutog u poslovnoj banci (ZABA d.d.) u svrhu proširenja gradskog groblja u Puli. Kredit je podignut u 2018. godini na rok od 10 godina.</w:t>
      </w:r>
    </w:p>
    <w:p w14:paraId="71F53428" w14:textId="77777777" w:rsidR="00C92746" w:rsidRPr="00332B98" w:rsidRDefault="00C92746" w:rsidP="00F23061">
      <w:pPr>
        <w:spacing w:after="0" w:line="240" w:lineRule="auto"/>
        <w:rPr>
          <w:rFonts w:ascii="Times New Roman" w:hAnsi="Times New Roman" w:cs="Times New Roman"/>
        </w:rPr>
      </w:pPr>
    </w:p>
    <w:p w14:paraId="1C1358E8" w14:textId="25E696B7" w:rsidR="00131D13" w:rsidRPr="00332B98" w:rsidRDefault="00131D13" w:rsidP="00131D13">
      <w:pPr>
        <w:keepNext/>
        <w:spacing w:after="0" w:line="240" w:lineRule="auto"/>
        <w:ind w:left="360" w:hanging="360"/>
        <w:outlineLvl w:val="1"/>
        <w:rPr>
          <w:rFonts w:ascii="Times New Roman" w:eastAsia="Times New Roman" w:hAnsi="Times New Roman" w:cs="Times New Roman"/>
          <w:b/>
        </w:rPr>
      </w:pPr>
      <w:r w:rsidRPr="00332B98">
        <w:rPr>
          <w:rFonts w:ascii="Times New Roman" w:eastAsia="Times New Roman" w:hAnsi="Times New Roman" w:cs="Times New Roman"/>
          <w:b/>
        </w:rPr>
        <w:t>Bilješka 2</w:t>
      </w:r>
      <w:r w:rsidR="00137795" w:rsidRPr="00332B98">
        <w:rPr>
          <w:rFonts w:ascii="Times New Roman" w:eastAsia="Times New Roman" w:hAnsi="Times New Roman" w:cs="Times New Roman"/>
          <w:b/>
        </w:rPr>
        <w:t>7</w:t>
      </w:r>
      <w:r w:rsidRPr="00332B98">
        <w:rPr>
          <w:rFonts w:ascii="Times New Roman" w:eastAsia="Times New Roman" w:hAnsi="Times New Roman" w:cs="Times New Roman"/>
          <w:b/>
        </w:rPr>
        <w:t xml:space="preserve">. Porez na dobit </w:t>
      </w:r>
    </w:p>
    <w:p w14:paraId="761F230B" w14:textId="77777777" w:rsidR="00763305" w:rsidRPr="00332B98" w:rsidRDefault="00763305" w:rsidP="00131D13">
      <w:pPr>
        <w:keepNext/>
        <w:spacing w:after="0" w:line="240" w:lineRule="auto"/>
        <w:ind w:left="360" w:hanging="360"/>
        <w:outlineLvl w:val="1"/>
        <w:rPr>
          <w:rFonts w:ascii="Times New Roman" w:eastAsia="Times New Roman" w:hAnsi="Times New Roman" w:cs="Times New Roman"/>
          <w:b/>
        </w:rPr>
      </w:pPr>
    </w:p>
    <w:tbl>
      <w:tblPr>
        <w:tblStyle w:val="GridTable2-Accent3"/>
        <w:tblW w:w="4991" w:type="pct"/>
        <w:tblLook w:val="0000" w:firstRow="0" w:lastRow="0" w:firstColumn="0" w:lastColumn="0" w:noHBand="0" w:noVBand="0"/>
      </w:tblPr>
      <w:tblGrid>
        <w:gridCol w:w="5415"/>
        <w:gridCol w:w="3641"/>
      </w:tblGrid>
      <w:tr w:rsidR="00131D13" w:rsidRPr="00332B98" w14:paraId="0901DADB" w14:textId="77777777" w:rsidTr="00763305">
        <w:trPr>
          <w:cnfStyle w:val="000000100000" w:firstRow="0" w:lastRow="0" w:firstColumn="0" w:lastColumn="0" w:oddVBand="0" w:evenVBand="0" w:oddHBand="1" w:evenHBand="0" w:firstRowFirstColumn="0" w:firstRowLastColumn="0" w:lastRowFirstColumn="0" w:lastRowLastColumn="0"/>
          <w:trHeight w:val="429"/>
        </w:trPr>
        <w:tc>
          <w:tcPr>
            <w:cnfStyle w:val="000010000000" w:firstRow="0" w:lastRow="0" w:firstColumn="0" w:lastColumn="0" w:oddVBand="1" w:evenVBand="0" w:oddHBand="0" w:evenHBand="0" w:firstRowFirstColumn="0" w:firstRowLastColumn="0" w:lastRowFirstColumn="0" w:lastRowLastColumn="0"/>
            <w:tcW w:w="2990" w:type="pct"/>
          </w:tcPr>
          <w:p w14:paraId="04E9383E" w14:textId="7503974F" w:rsidR="00131D13" w:rsidRPr="00332B98" w:rsidRDefault="00763305" w:rsidP="002235D2">
            <w:pPr>
              <w:rPr>
                <w:rFonts w:ascii="Times New Roman" w:eastAsia="Times New Roman" w:hAnsi="Times New Roman" w:cs="Times New Roman"/>
                <w:b/>
              </w:rPr>
            </w:pPr>
            <w:r w:rsidRPr="00332B98">
              <w:rPr>
                <w:rFonts w:ascii="Times New Roman" w:eastAsia="Times New Roman" w:hAnsi="Times New Roman" w:cs="Times New Roman"/>
                <w:b/>
              </w:rPr>
              <w:t>Porez na dobit</w:t>
            </w:r>
          </w:p>
        </w:tc>
        <w:tc>
          <w:tcPr>
            <w:tcW w:w="2010" w:type="pct"/>
          </w:tcPr>
          <w:p w14:paraId="021F6211" w14:textId="214753E5" w:rsidR="00131D13" w:rsidRPr="00332B98" w:rsidRDefault="00131D13" w:rsidP="00E62D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rPr>
            </w:pPr>
            <w:r w:rsidRPr="00332B98">
              <w:rPr>
                <w:rFonts w:ascii="Times New Roman" w:eastAsia="Times New Roman" w:hAnsi="Times New Roman" w:cs="Times New Roman"/>
                <w:b/>
                <w:lang w:val="en-US"/>
              </w:rPr>
              <w:t>20</w:t>
            </w:r>
            <w:r w:rsidR="00F23061" w:rsidRPr="00332B98">
              <w:rPr>
                <w:rFonts w:ascii="Times New Roman" w:eastAsia="Times New Roman" w:hAnsi="Times New Roman" w:cs="Times New Roman"/>
                <w:b/>
                <w:lang w:val="en-US"/>
              </w:rPr>
              <w:t>2</w:t>
            </w:r>
            <w:r w:rsidR="00E62DAD" w:rsidRPr="00332B98">
              <w:rPr>
                <w:rFonts w:ascii="Times New Roman" w:eastAsia="Times New Roman" w:hAnsi="Times New Roman" w:cs="Times New Roman"/>
                <w:b/>
                <w:lang w:val="en-US"/>
              </w:rPr>
              <w:t>2</w:t>
            </w:r>
            <w:r w:rsidRPr="00332B98">
              <w:rPr>
                <w:rFonts w:ascii="Times New Roman" w:eastAsia="Times New Roman" w:hAnsi="Times New Roman" w:cs="Times New Roman"/>
                <w:b/>
                <w:lang w:val="en-US"/>
              </w:rPr>
              <w:t>.</w:t>
            </w:r>
          </w:p>
        </w:tc>
      </w:tr>
      <w:tr w:rsidR="00131D13" w:rsidRPr="00BD32E1" w14:paraId="661D136D" w14:textId="77777777" w:rsidTr="00763305">
        <w:trPr>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2735AB46" w14:textId="77777777" w:rsidR="00131D13" w:rsidRPr="00332B98" w:rsidRDefault="00131D13" w:rsidP="002235D2">
            <w:pPr>
              <w:rPr>
                <w:rFonts w:ascii="Times New Roman" w:eastAsia="Times New Roman" w:hAnsi="Times New Roman" w:cs="Times New Roman"/>
              </w:rPr>
            </w:pPr>
            <w:r w:rsidRPr="00332B98">
              <w:rPr>
                <w:rFonts w:ascii="Times New Roman" w:eastAsia="Times New Roman" w:hAnsi="Times New Roman" w:cs="Times New Roman"/>
              </w:rPr>
              <w:t>Računovodstvena dobit prije oporezivanja</w:t>
            </w:r>
          </w:p>
        </w:tc>
        <w:tc>
          <w:tcPr>
            <w:tcW w:w="2010" w:type="pct"/>
          </w:tcPr>
          <w:p w14:paraId="50F8713D" w14:textId="2BD513E6" w:rsidR="00131D13" w:rsidRPr="00BD32E1" w:rsidRDefault="00E62DAD" w:rsidP="002235D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rPr>
            </w:pPr>
            <w:r w:rsidRPr="00BD32E1">
              <w:rPr>
                <w:rFonts w:ascii="Times New Roman" w:eastAsia="Times New Roman" w:hAnsi="Times New Roman" w:cs="Times New Roman"/>
                <w:b/>
                <w:lang w:val="en-US"/>
              </w:rPr>
              <w:t>68.894</w:t>
            </w:r>
          </w:p>
        </w:tc>
      </w:tr>
      <w:tr w:rsidR="00131D13" w:rsidRPr="00332B98" w14:paraId="123C7C78" w14:textId="77777777" w:rsidTr="00763305">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047F3217" w14:textId="77777777" w:rsidR="00131D13" w:rsidRPr="00332B98" w:rsidRDefault="00674870" w:rsidP="002235D2">
            <w:pPr>
              <w:rPr>
                <w:rFonts w:ascii="Times New Roman" w:eastAsia="Times New Roman" w:hAnsi="Times New Roman" w:cs="Times New Roman"/>
              </w:rPr>
            </w:pPr>
            <w:r w:rsidRPr="00332B98">
              <w:rPr>
                <w:rFonts w:ascii="Times New Roman" w:eastAsia="Times New Roman" w:hAnsi="Times New Roman" w:cs="Times New Roman"/>
              </w:rPr>
              <w:t>Ukupno smanjenje dobiti</w:t>
            </w:r>
          </w:p>
        </w:tc>
        <w:tc>
          <w:tcPr>
            <w:tcW w:w="2010" w:type="pct"/>
          </w:tcPr>
          <w:p w14:paraId="1EB148A4" w14:textId="3D275147" w:rsidR="00131D13" w:rsidRPr="00332B98" w:rsidRDefault="00131D13" w:rsidP="00E62DAD">
            <w:pPr>
              <w:ind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332B98">
              <w:rPr>
                <w:rFonts w:ascii="Times New Roman" w:eastAsia="Times New Roman" w:hAnsi="Times New Roman" w:cs="Times New Roman"/>
                <w:lang w:val="en-US"/>
              </w:rPr>
              <w:t>(</w:t>
            </w:r>
            <w:r w:rsidR="00E62DAD" w:rsidRPr="00332B98">
              <w:rPr>
                <w:rFonts w:ascii="Times New Roman" w:eastAsia="Times New Roman" w:hAnsi="Times New Roman" w:cs="Times New Roman"/>
                <w:lang w:val="en-US"/>
              </w:rPr>
              <w:t>111.430</w:t>
            </w:r>
            <w:r w:rsidRPr="00332B98">
              <w:rPr>
                <w:rFonts w:ascii="Times New Roman" w:eastAsia="Times New Roman" w:hAnsi="Times New Roman" w:cs="Times New Roman"/>
                <w:lang w:val="en-US"/>
              </w:rPr>
              <w:t>)</w:t>
            </w:r>
          </w:p>
        </w:tc>
      </w:tr>
      <w:tr w:rsidR="00131D13" w:rsidRPr="00332B98" w14:paraId="67046B2B" w14:textId="77777777" w:rsidTr="00763305">
        <w:trPr>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357FC69C" w14:textId="77777777" w:rsidR="00131D13" w:rsidRPr="00332B98" w:rsidRDefault="00131D13" w:rsidP="002235D2">
            <w:pPr>
              <w:rPr>
                <w:rFonts w:ascii="Times New Roman" w:eastAsia="Times New Roman" w:hAnsi="Times New Roman" w:cs="Times New Roman"/>
                <w:lang w:eastAsia="hr-HR"/>
              </w:rPr>
            </w:pPr>
            <w:r w:rsidRPr="00332B98">
              <w:rPr>
                <w:rFonts w:ascii="Times New Roman" w:eastAsia="Times New Roman" w:hAnsi="Times New Roman" w:cs="Times New Roman"/>
                <w:lang w:eastAsia="hr-HR"/>
              </w:rPr>
              <w:t>Porezno nepriznati troškovi</w:t>
            </w:r>
            <w:r w:rsidR="00674870" w:rsidRPr="00332B98">
              <w:rPr>
                <w:rFonts w:ascii="Times New Roman" w:eastAsia="Times New Roman" w:hAnsi="Times New Roman" w:cs="Times New Roman"/>
                <w:lang w:eastAsia="hr-HR"/>
              </w:rPr>
              <w:t xml:space="preserve"> (povećanje dobiti)</w:t>
            </w:r>
          </w:p>
        </w:tc>
        <w:tc>
          <w:tcPr>
            <w:tcW w:w="2010" w:type="pct"/>
          </w:tcPr>
          <w:p w14:paraId="01F31F4D" w14:textId="6AE103C2" w:rsidR="00131D13" w:rsidRPr="00332B98" w:rsidRDefault="00E62DAD" w:rsidP="00F2306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t-IT"/>
              </w:rPr>
            </w:pPr>
            <w:r w:rsidRPr="00332B98">
              <w:rPr>
                <w:rFonts w:ascii="Times New Roman" w:eastAsia="Times New Roman" w:hAnsi="Times New Roman" w:cs="Times New Roman"/>
                <w:lang w:val="it-IT"/>
              </w:rPr>
              <w:t>116.915</w:t>
            </w:r>
          </w:p>
        </w:tc>
      </w:tr>
      <w:tr w:rsidR="00131D13" w:rsidRPr="00332B98" w14:paraId="7B30148E" w14:textId="77777777" w:rsidTr="00763305">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2F90322E" w14:textId="77777777" w:rsidR="00131D13" w:rsidRPr="00332B98" w:rsidRDefault="00131D13" w:rsidP="002235D2">
            <w:pPr>
              <w:rPr>
                <w:rFonts w:ascii="Times New Roman" w:eastAsia="Times New Roman" w:hAnsi="Times New Roman" w:cs="Times New Roman"/>
                <w:b/>
                <w:bCs/>
              </w:rPr>
            </w:pPr>
            <w:r w:rsidRPr="00332B98">
              <w:rPr>
                <w:rFonts w:ascii="Times New Roman" w:eastAsia="Times New Roman" w:hAnsi="Times New Roman" w:cs="Times New Roman"/>
                <w:b/>
                <w:bCs/>
              </w:rPr>
              <w:t>Porezna osnovica</w:t>
            </w:r>
          </w:p>
        </w:tc>
        <w:tc>
          <w:tcPr>
            <w:tcW w:w="2010" w:type="pct"/>
          </w:tcPr>
          <w:p w14:paraId="49E1EC39" w14:textId="7F768486" w:rsidR="00131D13" w:rsidRPr="00332B98" w:rsidRDefault="00E62DAD" w:rsidP="002235D2">
            <w:pPr>
              <w:ind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rPr>
            </w:pPr>
            <w:r w:rsidRPr="00332B98">
              <w:rPr>
                <w:rFonts w:ascii="Times New Roman" w:eastAsia="Times New Roman" w:hAnsi="Times New Roman" w:cs="Times New Roman"/>
                <w:b/>
                <w:lang w:val="en-US"/>
              </w:rPr>
              <w:t>74.379</w:t>
            </w:r>
          </w:p>
        </w:tc>
      </w:tr>
      <w:tr w:rsidR="00131D13" w:rsidRPr="00332B98" w14:paraId="2B42DDB6" w14:textId="77777777" w:rsidTr="00763305">
        <w:trPr>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7E918138" w14:textId="77777777" w:rsidR="00131D13" w:rsidRPr="00332B98" w:rsidRDefault="00131D13" w:rsidP="002235D2">
            <w:pPr>
              <w:rPr>
                <w:rFonts w:ascii="Times New Roman" w:eastAsia="Times New Roman" w:hAnsi="Times New Roman" w:cs="Times New Roman"/>
                <w:b/>
                <w:bCs/>
              </w:rPr>
            </w:pPr>
            <w:r w:rsidRPr="00332B98">
              <w:rPr>
                <w:rFonts w:ascii="Times New Roman" w:eastAsia="Times New Roman" w:hAnsi="Times New Roman" w:cs="Times New Roman"/>
                <w:b/>
                <w:bCs/>
              </w:rPr>
              <w:t>Porezna stopa</w:t>
            </w:r>
          </w:p>
        </w:tc>
        <w:tc>
          <w:tcPr>
            <w:tcW w:w="2010" w:type="pct"/>
          </w:tcPr>
          <w:p w14:paraId="2F174871" w14:textId="77777777" w:rsidR="00131D13" w:rsidRPr="00332B98" w:rsidRDefault="00131D13" w:rsidP="002235D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rPr>
            </w:pPr>
            <w:r w:rsidRPr="00332B98">
              <w:rPr>
                <w:rFonts w:ascii="Times New Roman" w:eastAsia="Times New Roman" w:hAnsi="Times New Roman" w:cs="Times New Roman"/>
                <w:b/>
                <w:lang w:val="en-US"/>
              </w:rPr>
              <w:t>18%</w:t>
            </w:r>
          </w:p>
        </w:tc>
      </w:tr>
      <w:tr w:rsidR="00131D13" w:rsidRPr="00332B98" w14:paraId="6A49DC25" w14:textId="77777777" w:rsidTr="00763305">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3F404D9C" w14:textId="77777777" w:rsidR="00131D13" w:rsidRPr="00332B98" w:rsidRDefault="00131D13" w:rsidP="002235D2">
            <w:pPr>
              <w:rPr>
                <w:rFonts w:ascii="Times New Roman" w:eastAsia="Times New Roman" w:hAnsi="Times New Roman" w:cs="Times New Roman"/>
                <w:b/>
                <w:bCs/>
              </w:rPr>
            </w:pPr>
            <w:r w:rsidRPr="00332B98">
              <w:rPr>
                <w:rFonts w:ascii="Times New Roman" w:eastAsia="Times New Roman" w:hAnsi="Times New Roman" w:cs="Times New Roman"/>
                <w:b/>
                <w:bCs/>
              </w:rPr>
              <w:t xml:space="preserve">Porezna obveza </w:t>
            </w:r>
          </w:p>
        </w:tc>
        <w:tc>
          <w:tcPr>
            <w:tcW w:w="2010" w:type="pct"/>
          </w:tcPr>
          <w:p w14:paraId="20EE1FE2" w14:textId="0C24FD75" w:rsidR="00131D13" w:rsidRPr="00332B98" w:rsidRDefault="00E62DAD" w:rsidP="002235D2">
            <w:pPr>
              <w:ind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rPr>
            </w:pPr>
            <w:r w:rsidRPr="00332B98">
              <w:rPr>
                <w:rFonts w:ascii="Times New Roman" w:eastAsia="Times New Roman" w:hAnsi="Times New Roman" w:cs="Times New Roman"/>
                <w:b/>
                <w:lang w:val="en-US"/>
              </w:rPr>
              <w:t>13.388</w:t>
            </w:r>
          </w:p>
        </w:tc>
      </w:tr>
      <w:tr w:rsidR="00763305" w:rsidRPr="00332B98" w14:paraId="031C6004" w14:textId="77777777" w:rsidTr="00763305">
        <w:trPr>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04321F22" w14:textId="4513CB79" w:rsidR="00763305" w:rsidRPr="00332B98" w:rsidRDefault="00763305" w:rsidP="002235D2">
            <w:pPr>
              <w:rPr>
                <w:rFonts w:ascii="Times New Roman" w:eastAsia="Times New Roman" w:hAnsi="Times New Roman" w:cs="Times New Roman"/>
                <w:b/>
                <w:bCs/>
              </w:rPr>
            </w:pPr>
            <w:r w:rsidRPr="00332B98">
              <w:rPr>
                <w:rFonts w:ascii="Times New Roman" w:eastAsia="Times New Roman" w:hAnsi="Times New Roman" w:cs="Times New Roman"/>
                <w:b/>
                <w:bCs/>
              </w:rPr>
              <w:t>Dobit poreznog razdoblja</w:t>
            </w:r>
          </w:p>
        </w:tc>
        <w:tc>
          <w:tcPr>
            <w:tcW w:w="2010" w:type="pct"/>
          </w:tcPr>
          <w:p w14:paraId="11E1162C" w14:textId="0E6CEFB8" w:rsidR="00763305" w:rsidRPr="00332B98" w:rsidRDefault="00E62DAD" w:rsidP="002235D2">
            <w:pPr>
              <w:ind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rPr>
            </w:pPr>
            <w:r w:rsidRPr="00332B98">
              <w:rPr>
                <w:rFonts w:ascii="Times New Roman" w:eastAsia="Times New Roman" w:hAnsi="Times New Roman" w:cs="Times New Roman"/>
                <w:b/>
                <w:lang w:val="en-US"/>
              </w:rPr>
              <w:t>55.506</w:t>
            </w:r>
          </w:p>
        </w:tc>
      </w:tr>
    </w:tbl>
    <w:p w14:paraId="20701510" w14:textId="5F065F89" w:rsidR="00763305" w:rsidRPr="00332B98" w:rsidRDefault="00131D13" w:rsidP="00131D13">
      <w:pPr>
        <w:spacing w:after="0" w:line="240" w:lineRule="auto"/>
        <w:jc w:val="both"/>
        <w:rPr>
          <w:rFonts w:ascii="Times New Roman" w:eastAsia="Times New Roman" w:hAnsi="Times New Roman" w:cs="Times New Roman"/>
          <w:b/>
          <w:u w:val="single"/>
        </w:rPr>
      </w:pPr>
      <w:r w:rsidRPr="00332B98">
        <w:rPr>
          <w:rFonts w:ascii="Times New Roman" w:eastAsia="Times New Roman" w:hAnsi="Times New Roman" w:cs="Times New Roman"/>
          <w:b/>
        </w:rPr>
        <w:tab/>
      </w:r>
    </w:p>
    <w:p w14:paraId="128BF83E" w14:textId="77777777" w:rsidR="00763305" w:rsidRPr="00332B98" w:rsidRDefault="00763305" w:rsidP="00131D13">
      <w:pPr>
        <w:spacing w:after="0" w:line="240" w:lineRule="auto"/>
        <w:jc w:val="both"/>
        <w:rPr>
          <w:rFonts w:ascii="Times New Roman" w:eastAsia="Times New Roman" w:hAnsi="Times New Roman" w:cs="Times New Roman"/>
          <w:b/>
        </w:rPr>
      </w:pPr>
    </w:p>
    <w:p w14:paraId="7801A9F8" w14:textId="77777777" w:rsidR="00F5210A" w:rsidRPr="00332B98" w:rsidRDefault="00F5210A" w:rsidP="00131D13">
      <w:pPr>
        <w:spacing w:after="0" w:line="240" w:lineRule="auto"/>
        <w:jc w:val="both"/>
        <w:rPr>
          <w:rFonts w:ascii="Times New Roman" w:eastAsia="Times New Roman" w:hAnsi="Times New Roman" w:cs="Times New Roman"/>
          <w:b/>
        </w:rPr>
      </w:pPr>
    </w:p>
    <w:p w14:paraId="0B1B7BF4" w14:textId="77777777" w:rsidR="00BB5090" w:rsidRPr="00332B98" w:rsidRDefault="00BB5090" w:rsidP="00131D13">
      <w:pPr>
        <w:spacing w:after="0" w:line="240" w:lineRule="auto"/>
        <w:jc w:val="both"/>
        <w:rPr>
          <w:rFonts w:ascii="Times New Roman" w:eastAsia="Times New Roman" w:hAnsi="Times New Roman" w:cs="Times New Roman"/>
          <w:b/>
        </w:rPr>
      </w:pPr>
    </w:p>
    <w:p w14:paraId="386EF9C9" w14:textId="77777777" w:rsidR="00BB5090" w:rsidRPr="00332B98" w:rsidRDefault="00BB5090" w:rsidP="00131D13">
      <w:pPr>
        <w:spacing w:after="0" w:line="240" w:lineRule="auto"/>
        <w:jc w:val="both"/>
        <w:rPr>
          <w:rFonts w:ascii="Times New Roman" w:eastAsia="Times New Roman" w:hAnsi="Times New Roman" w:cs="Times New Roman"/>
          <w:b/>
        </w:rPr>
      </w:pPr>
    </w:p>
    <w:p w14:paraId="14716C10" w14:textId="77777777" w:rsidR="00BB5090" w:rsidRPr="00332B98" w:rsidRDefault="00BB5090" w:rsidP="00131D13">
      <w:pPr>
        <w:spacing w:after="0" w:line="240" w:lineRule="auto"/>
        <w:jc w:val="both"/>
        <w:rPr>
          <w:rFonts w:ascii="Times New Roman" w:eastAsia="Times New Roman" w:hAnsi="Times New Roman" w:cs="Times New Roman"/>
          <w:b/>
        </w:rPr>
      </w:pPr>
    </w:p>
    <w:p w14:paraId="5E4B65B2" w14:textId="77777777" w:rsidR="00BB5090" w:rsidRPr="00332B98" w:rsidRDefault="00BB5090" w:rsidP="00131D13">
      <w:pPr>
        <w:spacing w:after="0" w:line="240" w:lineRule="auto"/>
        <w:jc w:val="both"/>
        <w:rPr>
          <w:rFonts w:ascii="Times New Roman" w:eastAsia="Times New Roman" w:hAnsi="Times New Roman" w:cs="Times New Roman"/>
          <w:b/>
        </w:rPr>
      </w:pPr>
    </w:p>
    <w:p w14:paraId="0D894D3C" w14:textId="77777777" w:rsidR="00BB5090" w:rsidRPr="00332B98" w:rsidRDefault="00BB5090" w:rsidP="00131D13">
      <w:pPr>
        <w:spacing w:after="0" w:line="240" w:lineRule="auto"/>
        <w:jc w:val="both"/>
        <w:rPr>
          <w:rFonts w:ascii="Times New Roman" w:eastAsia="Times New Roman" w:hAnsi="Times New Roman" w:cs="Times New Roman"/>
          <w:b/>
        </w:rPr>
      </w:pPr>
    </w:p>
    <w:p w14:paraId="6764BC07" w14:textId="77777777" w:rsidR="00BB5090" w:rsidRPr="00332B98" w:rsidRDefault="00BB5090" w:rsidP="00131D13">
      <w:pPr>
        <w:spacing w:after="0" w:line="240" w:lineRule="auto"/>
        <w:jc w:val="both"/>
        <w:rPr>
          <w:rFonts w:ascii="Times New Roman" w:eastAsia="Times New Roman" w:hAnsi="Times New Roman" w:cs="Times New Roman"/>
          <w:b/>
        </w:rPr>
      </w:pPr>
    </w:p>
    <w:p w14:paraId="1E8E5274" w14:textId="77777777" w:rsidR="00BB5090" w:rsidRPr="00332B98" w:rsidRDefault="00BB5090" w:rsidP="00131D13">
      <w:pPr>
        <w:spacing w:after="0" w:line="240" w:lineRule="auto"/>
        <w:jc w:val="both"/>
        <w:rPr>
          <w:rFonts w:ascii="Times New Roman" w:eastAsia="Times New Roman" w:hAnsi="Times New Roman" w:cs="Times New Roman"/>
          <w:b/>
        </w:rPr>
      </w:pPr>
    </w:p>
    <w:p w14:paraId="54FDF3EC" w14:textId="77777777" w:rsidR="00BB5090" w:rsidRPr="00332B98" w:rsidRDefault="00BB5090" w:rsidP="00131D13">
      <w:pPr>
        <w:spacing w:after="0" w:line="240" w:lineRule="auto"/>
        <w:jc w:val="both"/>
        <w:rPr>
          <w:rFonts w:ascii="Times New Roman" w:eastAsia="Times New Roman" w:hAnsi="Times New Roman" w:cs="Times New Roman"/>
          <w:b/>
        </w:rPr>
      </w:pPr>
    </w:p>
    <w:p w14:paraId="2D837F06" w14:textId="77777777" w:rsidR="00BB5090" w:rsidRPr="00332B98" w:rsidRDefault="00BB5090" w:rsidP="00131D13">
      <w:pPr>
        <w:spacing w:after="0" w:line="240" w:lineRule="auto"/>
        <w:jc w:val="both"/>
        <w:rPr>
          <w:rFonts w:ascii="Times New Roman" w:eastAsia="Times New Roman" w:hAnsi="Times New Roman" w:cs="Times New Roman"/>
          <w:b/>
        </w:rPr>
      </w:pPr>
    </w:p>
    <w:p w14:paraId="28ACDE4D" w14:textId="77777777" w:rsidR="00BB5090" w:rsidRPr="00332B98" w:rsidRDefault="00BB5090" w:rsidP="00131D13">
      <w:pPr>
        <w:spacing w:after="0" w:line="240" w:lineRule="auto"/>
        <w:jc w:val="both"/>
        <w:rPr>
          <w:rFonts w:ascii="Times New Roman" w:eastAsia="Times New Roman" w:hAnsi="Times New Roman" w:cs="Times New Roman"/>
          <w:b/>
        </w:rPr>
      </w:pPr>
    </w:p>
    <w:p w14:paraId="0AD8F0A4" w14:textId="77777777" w:rsidR="00BB5090" w:rsidRPr="00332B98" w:rsidRDefault="00BB5090" w:rsidP="00131D13">
      <w:pPr>
        <w:spacing w:after="0" w:line="240" w:lineRule="auto"/>
        <w:jc w:val="both"/>
        <w:rPr>
          <w:rFonts w:ascii="Times New Roman" w:eastAsia="Times New Roman" w:hAnsi="Times New Roman" w:cs="Times New Roman"/>
          <w:b/>
        </w:rPr>
      </w:pPr>
    </w:p>
    <w:p w14:paraId="3F946DB0" w14:textId="77777777" w:rsidR="00BB5090" w:rsidRPr="00332B98" w:rsidRDefault="00BB5090" w:rsidP="00131D13">
      <w:pPr>
        <w:spacing w:after="0" w:line="240" w:lineRule="auto"/>
        <w:jc w:val="both"/>
        <w:rPr>
          <w:rFonts w:ascii="Times New Roman" w:eastAsia="Times New Roman" w:hAnsi="Times New Roman" w:cs="Times New Roman"/>
          <w:b/>
        </w:rPr>
      </w:pPr>
    </w:p>
    <w:p w14:paraId="3C40D5ED" w14:textId="77777777" w:rsidR="00BB5090" w:rsidRPr="00332B98" w:rsidRDefault="00BB5090" w:rsidP="00131D13">
      <w:pPr>
        <w:spacing w:after="0" w:line="240" w:lineRule="auto"/>
        <w:jc w:val="both"/>
        <w:rPr>
          <w:rFonts w:ascii="Times New Roman" w:eastAsia="Times New Roman" w:hAnsi="Times New Roman" w:cs="Times New Roman"/>
          <w:b/>
        </w:rPr>
      </w:pPr>
    </w:p>
    <w:p w14:paraId="1E5BA889" w14:textId="77777777" w:rsidR="00BB5090" w:rsidRPr="00332B98" w:rsidRDefault="00BB5090" w:rsidP="00131D13">
      <w:pPr>
        <w:spacing w:after="0" w:line="240" w:lineRule="auto"/>
        <w:jc w:val="both"/>
        <w:rPr>
          <w:rFonts w:ascii="Times New Roman" w:eastAsia="Times New Roman" w:hAnsi="Times New Roman" w:cs="Times New Roman"/>
          <w:b/>
        </w:rPr>
      </w:pPr>
    </w:p>
    <w:p w14:paraId="3D5D5587" w14:textId="77777777" w:rsidR="00BB5090" w:rsidRPr="00332B98" w:rsidRDefault="00BB5090" w:rsidP="00131D13">
      <w:pPr>
        <w:spacing w:after="0" w:line="240" w:lineRule="auto"/>
        <w:jc w:val="both"/>
        <w:rPr>
          <w:rFonts w:ascii="Times New Roman" w:eastAsia="Times New Roman" w:hAnsi="Times New Roman" w:cs="Times New Roman"/>
          <w:b/>
        </w:rPr>
      </w:pPr>
    </w:p>
    <w:p w14:paraId="40A6FA01" w14:textId="77777777" w:rsidR="00BB5090" w:rsidRPr="00332B98" w:rsidRDefault="00BB5090" w:rsidP="00131D13">
      <w:pPr>
        <w:spacing w:after="0" w:line="240" w:lineRule="auto"/>
        <w:jc w:val="both"/>
        <w:rPr>
          <w:rFonts w:ascii="Times New Roman" w:eastAsia="Times New Roman" w:hAnsi="Times New Roman" w:cs="Times New Roman"/>
          <w:b/>
        </w:rPr>
      </w:pPr>
    </w:p>
    <w:p w14:paraId="60D1C9A9" w14:textId="77777777" w:rsidR="00BB5090" w:rsidRPr="00332B98" w:rsidRDefault="00BB5090" w:rsidP="00131D13">
      <w:pPr>
        <w:spacing w:after="0" w:line="240" w:lineRule="auto"/>
        <w:jc w:val="both"/>
        <w:rPr>
          <w:rFonts w:ascii="Times New Roman" w:eastAsia="Times New Roman" w:hAnsi="Times New Roman" w:cs="Times New Roman"/>
          <w:b/>
        </w:rPr>
      </w:pPr>
    </w:p>
    <w:p w14:paraId="6B32354E" w14:textId="77777777" w:rsidR="00BB5090" w:rsidRPr="00332B98" w:rsidRDefault="00BB5090" w:rsidP="00131D13">
      <w:pPr>
        <w:spacing w:after="0" w:line="240" w:lineRule="auto"/>
        <w:jc w:val="both"/>
        <w:rPr>
          <w:rFonts w:ascii="Times New Roman" w:eastAsia="Times New Roman" w:hAnsi="Times New Roman" w:cs="Times New Roman"/>
          <w:b/>
        </w:rPr>
      </w:pPr>
    </w:p>
    <w:p w14:paraId="0033D42C" w14:textId="77777777" w:rsidR="00BB5090" w:rsidRPr="00332B98" w:rsidRDefault="00BB5090" w:rsidP="00131D13">
      <w:pPr>
        <w:spacing w:after="0" w:line="240" w:lineRule="auto"/>
        <w:jc w:val="both"/>
        <w:rPr>
          <w:rFonts w:ascii="Times New Roman" w:eastAsia="Times New Roman" w:hAnsi="Times New Roman" w:cs="Times New Roman"/>
          <w:b/>
        </w:rPr>
      </w:pPr>
    </w:p>
    <w:p w14:paraId="5F5F3F93" w14:textId="77777777" w:rsidR="00BB5090" w:rsidRPr="00332B98" w:rsidRDefault="00BB5090" w:rsidP="00131D13">
      <w:pPr>
        <w:spacing w:after="0" w:line="240" w:lineRule="auto"/>
        <w:jc w:val="both"/>
        <w:rPr>
          <w:rFonts w:ascii="Times New Roman" w:eastAsia="Times New Roman" w:hAnsi="Times New Roman" w:cs="Times New Roman"/>
          <w:b/>
        </w:rPr>
      </w:pPr>
    </w:p>
    <w:p w14:paraId="6416CEF5" w14:textId="77777777" w:rsidR="00BB5090" w:rsidRPr="00332B98" w:rsidRDefault="00BB5090" w:rsidP="00131D13">
      <w:pPr>
        <w:spacing w:after="0" w:line="240" w:lineRule="auto"/>
        <w:jc w:val="both"/>
        <w:rPr>
          <w:rFonts w:ascii="Times New Roman" w:eastAsia="Times New Roman" w:hAnsi="Times New Roman" w:cs="Times New Roman"/>
          <w:b/>
        </w:rPr>
      </w:pPr>
    </w:p>
    <w:p w14:paraId="5A0E6C16" w14:textId="77777777" w:rsidR="00BB5090" w:rsidRPr="00332B98" w:rsidRDefault="00BB5090" w:rsidP="00131D13">
      <w:pPr>
        <w:spacing w:after="0" w:line="240" w:lineRule="auto"/>
        <w:jc w:val="both"/>
        <w:rPr>
          <w:rFonts w:ascii="Times New Roman" w:eastAsia="Times New Roman" w:hAnsi="Times New Roman" w:cs="Times New Roman"/>
          <w:b/>
        </w:rPr>
      </w:pPr>
    </w:p>
    <w:p w14:paraId="76557516" w14:textId="77777777" w:rsidR="00BB5090" w:rsidRPr="00332B98" w:rsidRDefault="00BB5090" w:rsidP="00131D13">
      <w:pPr>
        <w:spacing w:after="0" w:line="240" w:lineRule="auto"/>
        <w:jc w:val="both"/>
        <w:rPr>
          <w:rFonts w:ascii="Times New Roman" w:eastAsia="Times New Roman" w:hAnsi="Times New Roman" w:cs="Times New Roman"/>
          <w:b/>
        </w:rPr>
      </w:pPr>
    </w:p>
    <w:p w14:paraId="4779B8D0" w14:textId="77777777" w:rsidR="00BB5090" w:rsidRPr="00332B98" w:rsidRDefault="00BB5090" w:rsidP="00131D13">
      <w:pPr>
        <w:spacing w:after="0" w:line="240" w:lineRule="auto"/>
        <w:jc w:val="both"/>
        <w:rPr>
          <w:rFonts w:ascii="Times New Roman" w:eastAsia="Times New Roman" w:hAnsi="Times New Roman" w:cs="Times New Roman"/>
          <w:b/>
        </w:rPr>
      </w:pPr>
    </w:p>
    <w:p w14:paraId="23B3EC17" w14:textId="77777777" w:rsidR="00BB5090" w:rsidRPr="00332B98" w:rsidRDefault="00BB5090" w:rsidP="00131D13">
      <w:pPr>
        <w:spacing w:after="0" w:line="240" w:lineRule="auto"/>
        <w:jc w:val="both"/>
        <w:rPr>
          <w:rFonts w:ascii="Times New Roman" w:eastAsia="Times New Roman" w:hAnsi="Times New Roman" w:cs="Times New Roman"/>
          <w:b/>
        </w:rPr>
      </w:pPr>
    </w:p>
    <w:p w14:paraId="4874F0BE" w14:textId="77777777" w:rsidR="00BB5090" w:rsidRPr="00332B98" w:rsidRDefault="00BB5090" w:rsidP="00131D13">
      <w:pPr>
        <w:spacing w:after="0" w:line="240" w:lineRule="auto"/>
        <w:jc w:val="both"/>
        <w:rPr>
          <w:rFonts w:ascii="Times New Roman" w:eastAsia="Times New Roman" w:hAnsi="Times New Roman" w:cs="Times New Roman"/>
          <w:b/>
        </w:rPr>
      </w:pPr>
    </w:p>
    <w:p w14:paraId="49448051" w14:textId="77777777" w:rsidR="00BB5090" w:rsidRPr="00332B98" w:rsidRDefault="00BB5090" w:rsidP="00131D13">
      <w:pPr>
        <w:spacing w:after="0" w:line="240" w:lineRule="auto"/>
        <w:jc w:val="both"/>
        <w:rPr>
          <w:rFonts w:ascii="Times New Roman" w:eastAsia="Times New Roman" w:hAnsi="Times New Roman" w:cs="Times New Roman"/>
          <w:b/>
        </w:rPr>
      </w:pPr>
    </w:p>
    <w:p w14:paraId="63FB6E5A" w14:textId="77777777" w:rsidR="00BB5090" w:rsidRPr="00332B98" w:rsidRDefault="00BB5090" w:rsidP="00131D13">
      <w:pPr>
        <w:spacing w:after="0" w:line="240" w:lineRule="auto"/>
        <w:jc w:val="both"/>
        <w:rPr>
          <w:rFonts w:ascii="Times New Roman" w:eastAsia="Times New Roman" w:hAnsi="Times New Roman" w:cs="Times New Roman"/>
          <w:b/>
        </w:rPr>
      </w:pPr>
    </w:p>
    <w:p w14:paraId="3FC5651C" w14:textId="77777777" w:rsidR="00BB5090" w:rsidRPr="00332B98" w:rsidRDefault="00BB5090" w:rsidP="00131D13">
      <w:pPr>
        <w:spacing w:after="0" w:line="240" w:lineRule="auto"/>
        <w:jc w:val="both"/>
        <w:rPr>
          <w:rFonts w:ascii="Times New Roman" w:eastAsia="Times New Roman" w:hAnsi="Times New Roman" w:cs="Times New Roman"/>
          <w:b/>
        </w:rPr>
      </w:pPr>
    </w:p>
    <w:p w14:paraId="12C4CB07" w14:textId="77777777" w:rsidR="00BB5090" w:rsidRPr="00332B98" w:rsidRDefault="00BB5090" w:rsidP="00131D13">
      <w:pPr>
        <w:spacing w:after="0" w:line="240" w:lineRule="auto"/>
        <w:jc w:val="both"/>
        <w:rPr>
          <w:rFonts w:ascii="Times New Roman" w:eastAsia="Times New Roman" w:hAnsi="Times New Roman" w:cs="Times New Roman"/>
          <w:b/>
        </w:rPr>
      </w:pPr>
    </w:p>
    <w:p w14:paraId="22AD7594" w14:textId="5C5C2539" w:rsidR="00BB5090" w:rsidRPr="00332B98" w:rsidRDefault="00BB5090" w:rsidP="00BB5090">
      <w:pPr>
        <w:spacing w:after="0" w:line="240" w:lineRule="auto"/>
        <w:jc w:val="right"/>
        <w:rPr>
          <w:rFonts w:ascii="Times New Roman" w:eastAsia="Times New Roman" w:hAnsi="Times New Roman" w:cs="Times New Roman"/>
        </w:rPr>
      </w:pPr>
      <w:r w:rsidRPr="00332B98">
        <w:rPr>
          <w:rFonts w:ascii="Times New Roman" w:eastAsia="Times New Roman" w:hAnsi="Times New Roman" w:cs="Times New Roman"/>
        </w:rPr>
        <w:t>14</w:t>
      </w:r>
    </w:p>
    <w:p w14:paraId="4BF18009" w14:textId="06E4C036" w:rsidR="00131D13" w:rsidRPr="00332B98" w:rsidRDefault="00DE7202" w:rsidP="00131D13">
      <w:pPr>
        <w:spacing w:after="0" w:line="240" w:lineRule="auto"/>
        <w:jc w:val="both"/>
        <w:rPr>
          <w:rFonts w:ascii="Times New Roman" w:eastAsia="Times New Roman" w:hAnsi="Times New Roman" w:cs="Times New Roman"/>
          <w:b/>
        </w:rPr>
      </w:pPr>
      <w:r w:rsidRPr="00332B98">
        <w:rPr>
          <w:rFonts w:ascii="Times New Roman" w:eastAsia="Times New Roman" w:hAnsi="Times New Roman" w:cs="Times New Roman"/>
          <w:b/>
        </w:rPr>
        <w:lastRenderedPageBreak/>
        <w:t>Bilješke 28. Upravljanje financijskim rizicima</w:t>
      </w:r>
    </w:p>
    <w:p w14:paraId="22BACD47" w14:textId="77777777" w:rsidR="00DE7202" w:rsidRPr="00332B98" w:rsidRDefault="00DE7202" w:rsidP="00131D13">
      <w:pPr>
        <w:spacing w:after="0" w:line="240" w:lineRule="auto"/>
        <w:jc w:val="both"/>
        <w:rPr>
          <w:rFonts w:ascii="Times New Roman" w:eastAsia="Times New Roman" w:hAnsi="Times New Roman" w:cs="Times New Roman"/>
          <w:b/>
        </w:rPr>
      </w:pPr>
    </w:p>
    <w:p w14:paraId="0D9ED4CA" w14:textId="03C4FA9D" w:rsidR="00DE7202" w:rsidRPr="00332B98" w:rsidRDefault="00DE7202" w:rsidP="00131D13">
      <w:pPr>
        <w:spacing w:after="0" w:line="240" w:lineRule="auto"/>
        <w:jc w:val="both"/>
        <w:rPr>
          <w:rFonts w:ascii="Times New Roman" w:eastAsia="Times New Roman" w:hAnsi="Times New Roman" w:cs="Times New Roman"/>
        </w:rPr>
      </w:pPr>
      <w:r w:rsidRPr="00332B98">
        <w:rPr>
          <w:rFonts w:ascii="Times New Roman" w:eastAsia="Times New Roman" w:hAnsi="Times New Roman" w:cs="Times New Roman"/>
        </w:rPr>
        <w:t>Faktor financijskog rizika</w:t>
      </w:r>
    </w:p>
    <w:p w14:paraId="7B8A4D50" w14:textId="77777777" w:rsidR="00DE7202" w:rsidRPr="00332B98" w:rsidRDefault="00DE7202" w:rsidP="00131D13">
      <w:pPr>
        <w:spacing w:after="0" w:line="240" w:lineRule="auto"/>
        <w:jc w:val="both"/>
        <w:rPr>
          <w:rFonts w:ascii="Times New Roman" w:eastAsia="Times New Roman" w:hAnsi="Times New Roman" w:cs="Times New Roman"/>
        </w:rPr>
      </w:pPr>
    </w:p>
    <w:p w14:paraId="36CF18F3" w14:textId="5E9420C0" w:rsidR="00DE7202" w:rsidRPr="00332B98" w:rsidRDefault="00DE7202" w:rsidP="00131D13">
      <w:pPr>
        <w:spacing w:after="0" w:line="240" w:lineRule="auto"/>
        <w:jc w:val="both"/>
        <w:rPr>
          <w:rFonts w:ascii="Times New Roman" w:eastAsia="Times New Roman" w:hAnsi="Times New Roman" w:cs="Times New Roman"/>
        </w:rPr>
      </w:pPr>
      <w:r w:rsidRPr="00332B98">
        <w:rPr>
          <w:rFonts w:ascii="Times New Roman" w:eastAsia="Times New Roman" w:hAnsi="Times New Roman" w:cs="Times New Roman"/>
        </w:rPr>
        <w:t>Aktivnosti kojima se Društvo bavi izlažu ga financijskim rizicima, uključujući učinke promjena tržišnih cijena, deviznog tečaja i kamatnih stopa.</w:t>
      </w:r>
    </w:p>
    <w:p w14:paraId="2E6763B8" w14:textId="77777777" w:rsidR="00631C11" w:rsidRPr="00332B98" w:rsidRDefault="00631C11" w:rsidP="00131D13">
      <w:pPr>
        <w:spacing w:after="0" w:line="240" w:lineRule="auto"/>
        <w:jc w:val="both"/>
        <w:rPr>
          <w:rFonts w:ascii="Times New Roman" w:eastAsia="Times New Roman" w:hAnsi="Times New Roman" w:cs="Times New Roman"/>
        </w:rPr>
      </w:pPr>
    </w:p>
    <w:p w14:paraId="4547574C" w14:textId="77777777" w:rsidR="00631C11" w:rsidRPr="00332B98" w:rsidRDefault="00631C11" w:rsidP="00631C11">
      <w:pPr>
        <w:pStyle w:val="ListParagraph"/>
        <w:numPr>
          <w:ilvl w:val="0"/>
          <w:numId w:val="5"/>
        </w:numPr>
        <w:spacing w:line="240" w:lineRule="auto"/>
        <w:ind w:hanging="720"/>
        <w:rPr>
          <w:rFonts w:ascii="Times New Roman" w:eastAsia="Times New Roman" w:hAnsi="Times New Roman"/>
          <w:b/>
        </w:rPr>
      </w:pPr>
      <w:r w:rsidRPr="00332B98">
        <w:rPr>
          <w:rFonts w:ascii="Times New Roman" w:eastAsia="Times New Roman" w:hAnsi="Times New Roman"/>
          <w:b/>
        </w:rPr>
        <w:t>Valutni i kamatni rizik</w:t>
      </w:r>
    </w:p>
    <w:p w14:paraId="5CECDF91" w14:textId="77777777" w:rsidR="00631C11" w:rsidRPr="00332B98" w:rsidRDefault="00631C11" w:rsidP="00631C11">
      <w:pPr>
        <w:spacing w:after="0" w:line="240" w:lineRule="auto"/>
        <w:jc w:val="both"/>
        <w:rPr>
          <w:rFonts w:ascii="Times New Roman" w:eastAsia="Times New Roman" w:hAnsi="Times New Roman" w:cs="Times New Roman"/>
          <w:bCs/>
        </w:rPr>
      </w:pPr>
    </w:p>
    <w:p w14:paraId="0649992B" w14:textId="77777777" w:rsidR="00631C11" w:rsidRPr="00332B98" w:rsidRDefault="00631C11" w:rsidP="00631C11">
      <w:pPr>
        <w:spacing w:after="0" w:line="240" w:lineRule="auto"/>
        <w:jc w:val="both"/>
        <w:rPr>
          <w:rFonts w:ascii="Times New Roman" w:eastAsia="Times New Roman" w:hAnsi="Times New Roman" w:cs="Times New Roman"/>
          <w:bCs/>
        </w:rPr>
      </w:pPr>
      <w:r w:rsidRPr="00332B98">
        <w:rPr>
          <w:rFonts w:ascii="Times New Roman" w:eastAsia="Times New Roman" w:hAnsi="Times New Roman" w:cs="Times New Roman"/>
          <w:bCs/>
        </w:rPr>
        <w:t>Prihod od prodaje na domaćem tržištu je ostvaren u hrvatskim kunama, stoga s navedene osnove nema rizika od promjene tečaja.</w:t>
      </w:r>
    </w:p>
    <w:p w14:paraId="5085B1C7" w14:textId="77777777" w:rsidR="00631C11" w:rsidRPr="00332B98" w:rsidRDefault="00631C11" w:rsidP="00631C11">
      <w:pPr>
        <w:spacing w:after="0" w:line="240" w:lineRule="auto"/>
        <w:jc w:val="both"/>
        <w:rPr>
          <w:rFonts w:ascii="Times New Roman" w:eastAsia="Times New Roman" w:hAnsi="Times New Roman" w:cs="Times New Roman"/>
          <w:bCs/>
        </w:rPr>
      </w:pPr>
      <w:r w:rsidRPr="00332B98">
        <w:rPr>
          <w:rFonts w:ascii="Times New Roman" w:eastAsia="Times New Roman" w:hAnsi="Times New Roman" w:cs="Times New Roman"/>
          <w:bCs/>
        </w:rPr>
        <w:t>Kamatni rizik je rizik od promjene vrijednosti financijskih instrumenta uslijed promjene tržišnih kamatnih stopa.  Kamatni rizik povezuje se s promjenjivim kamatnim stopama na primljene kredite.</w:t>
      </w:r>
    </w:p>
    <w:p w14:paraId="3402111C" w14:textId="77777777" w:rsidR="00631C11" w:rsidRPr="00332B98" w:rsidRDefault="00631C11" w:rsidP="00631C11">
      <w:pPr>
        <w:spacing w:after="0" w:line="240" w:lineRule="auto"/>
        <w:rPr>
          <w:rFonts w:ascii="Times New Roman" w:eastAsia="Times New Roman" w:hAnsi="Times New Roman" w:cs="Times New Roman"/>
          <w:bCs/>
        </w:rPr>
      </w:pPr>
    </w:p>
    <w:p w14:paraId="4E5735A3" w14:textId="77777777" w:rsidR="00631C11" w:rsidRPr="00332B98" w:rsidRDefault="00631C11" w:rsidP="00631C11">
      <w:pPr>
        <w:spacing w:after="0" w:line="240" w:lineRule="auto"/>
        <w:rPr>
          <w:rFonts w:ascii="Times New Roman" w:eastAsia="Times New Roman" w:hAnsi="Times New Roman" w:cs="Times New Roman"/>
          <w:b/>
        </w:rPr>
      </w:pPr>
      <w:r w:rsidRPr="00332B98">
        <w:rPr>
          <w:rFonts w:ascii="Times New Roman" w:eastAsia="Times New Roman" w:hAnsi="Times New Roman" w:cs="Times New Roman"/>
          <w:b/>
        </w:rPr>
        <w:t>b)</w:t>
      </w:r>
      <w:r w:rsidRPr="00332B98">
        <w:rPr>
          <w:rFonts w:ascii="Times New Roman" w:eastAsia="Times New Roman" w:hAnsi="Times New Roman" w:cs="Times New Roman"/>
          <w:b/>
        </w:rPr>
        <w:tab/>
        <w:t>Kreditni rizik</w:t>
      </w:r>
    </w:p>
    <w:p w14:paraId="02B19F96" w14:textId="77777777" w:rsidR="00631C11" w:rsidRPr="00332B98" w:rsidRDefault="00631C11" w:rsidP="00631C11">
      <w:pPr>
        <w:spacing w:after="0" w:line="240" w:lineRule="auto"/>
        <w:rPr>
          <w:rFonts w:ascii="Times New Roman" w:eastAsia="Times New Roman" w:hAnsi="Times New Roman" w:cs="Times New Roman"/>
          <w:bCs/>
        </w:rPr>
      </w:pPr>
    </w:p>
    <w:p w14:paraId="7343EA26" w14:textId="77777777" w:rsidR="00631C11" w:rsidRPr="00332B98" w:rsidRDefault="00631C11" w:rsidP="00631C11">
      <w:pPr>
        <w:spacing w:after="0" w:line="240" w:lineRule="auto"/>
        <w:jc w:val="both"/>
        <w:rPr>
          <w:rFonts w:ascii="Times New Roman" w:eastAsia="Times New Roman" w:hAnsi="Times New Roman" w:cs="Times New Roman"/>
          <w:bCs/>
        </w:rPr>
      </w:pPr>
      <w:r w:rsidRPr="00332B98">
        <w:rPr>
          <w:rFonts w:ascii="Times New Roman" w:eastAsia="Times New Roman" w:hAnsi="Times New Roman" w:cs="Times New Roman"/>
          <w:bCs/>
        </w:rPr>
        <w:t>Osnovna financijska imovina koja potencijalno može izložiti Društvo kreditnom riziku obuhvaća novac, potraživanja od kupaca i ostala potraživanja.</w:t>
      </w:r>
    </w:p>
    <w:p w14:paraId="6D144A8B" w14:textId="77777777" w:rsidR="00631C11" w:rsidRPr="00332B98" w:rsidRDefault="00631C11" w:rsidP="00631C11">
      <w:pPr>
        <w:spacing w:after="0" w:line="240" w:lineRule="auto"/>
        <w:jc w:val="both"/>
        <w:rPr>
          <w:rFonts w:ascii="Times New Roman" w:eastAsia="Times New Roman" w:hAnsi="Times New Roman" w:cs="Times New Roman"/>
          <w:bCs/>
        </w:rPr>
      </w:pPr>
      <w:r w:rsidRPr="00332B98">
        <w:rPr>
          <w:rFonts w:ascii="Times New Roman" w:eastAsia="Times New Roman" w:hAnsi="Times New Roman" w:cs="Times New Roman"/>
          <w:bCs/>
        </w:rPr>
        <w:t>Kreditni rizik je onaj koji nastaje pri ulaganju novčanih sredstava u financijske plasmane. Sastoji se od opasnosti da se uložena sredstva neće vratiti, da se neće vratiti u cijelosti, odnosno da se neće vratiti planiranom dinamikom.</w:t>
      </w:r>
    </w:p>
    <w:p w14:paraId="3E7CA64A" w14:textId="77777777" w:rsidR="00631C11" w:rsidRPr="00332B98" w:rsidRDefault="00631C11" w:rsidP="00631C11">
      <w:pPr>
        <w:spacing w:after="0" w:line="240" w:lineRule="auto"/>
        <w:jc w:val="both"/>
        <w:rPr>
          <w:rFonts w:ascii="Times New Roman" w:eastAsia="Times New Roman" w:hAnsi="Times New Roman" w:cs="Times New Roman"/>
          <w:bCs/>
        </w:rPr>
      </w:pPr>
    </w:p>
    <w:p w14:paraId="4F043F05" w14:textId="77777777" w:rsidR="00631C11" w:rsidRPr="00332B98" w:rsidRDefault="00631C11" w:rsidP="00631C11">
      <w:pPr>
        <w:spacing w:after="0" w:line="240" w:lineRule="auto"/>
        <w:jc w:val="both"/>
        <w:rPr>
          <w:rFonts w:ascii="Times New Roman" w:eastAsia="Times New Roman" w:hAnsi="Times New Roman" w:cs="Times New Roman"/>
          <w:bCs/>
        </w:rPr>
      </w:pPr>
      <w:r w:rsidRPr="00332B98">
        <w:rPr>
          <w:rFonts w:ascii="Times New Roman" w:eastAsia="Times New Roman" w:hAnsi="Times New Roman" w:cs="Times New Roman"/>
          <w:bCs/>
        </w:rPr>
        <w:t>Potraživanja od kupaca su ispravljena za umanjenje vrijednosti potraživanja koja su nenadoknadiva. Koncentracija kreditnog rizika vezano uz potraživanja od kupaca limitirana je velikim brojem različitih kupaca. Kreditni limiti kupaca redovito se provjeravaju i usklađuju.</w:t>
      </w:r>
    </w:p>
    <w:p w14:paraId="70F2905C" w14:textId="77777777" w:rsidR="00631C11" w:rsidRPr="00332B98" w:rsidRDefault="00631C11" w:rsidP="00631C11">
      <w:pPr>
        <w:spacing w:after="0" w:line="240" w:lineRule="auto"/>
        <w:jc w:val="both"/>
        <w:rPr>
          <w:rFonts w:ascii="Times New Roman" w:eastAsia="Times New Roman" w:hAnsi="Times New Roman" w:cs="Times New Roman"/>
          <w:bCs/>
        </w:rPr>
      </w:pPr>
    </w:p>
    <w:p w14:paraId="1DEF3E1A" w14:textId="77777777" w:rsidR="00631C11" w:rsidRPr="00332B98" w:rsidRDefault="00631C11" w:rsidP="00631C11">
      <w:pPr>
        <w:spacing w:after="0" w:line="240" w:lineRule="auto"/>
        <w:rPr>
          <w:rFonts w:ascii="Times New Roman" w:eastAsia="Times New Roman" w:hAnsi="Times New Roman" w:cs="Times New Roman"/>
          <w:bCs/>
        </w:rPr>
      </w:pPr>
    </w:p>
    <w:p w14:paraId="7E2E3013" w14:textId="77777777" w:rsidR="00631C11" w:rsidRPr="00332B98" w:rsidRDefault="00631C11" w:rsidP="00631C11">
      <w:pPr>
        <w:spacing w:after="0" w:line="240" w:lineRule="auto"/>
        <w:rPr>
          <w:rFonts w:ascii="Times New Roman" w:eastAsia="Times New Roman" w:hAnsi="Times New Roman" w:cs="Times New Roman"/>
          <w:b/>
        </w:rPr>
      </w:pPr>
      <w:r w:rsidRPr="00332B98">
        <w:rPr>
          <w:rFonts w:ascii="Times New Roman" w:eastAsia="Times New Roman" w:hAnsi="Times New Roman" w:cs="Times New Roman"/>
          <w:b/>
        </w:rPr>
        <w:t>c)</w:t>
      </w:r>
      <w:r w:rsidRPr="00332B98">
        <w:rPr>
          <w:rFonts w:ascii="Times New Roman" w:eastAsia="Times New Roman" w:hAnsi="Times New Roman" w:cs="Times New Roman"/>
          <w:b/>
        </w:rPr>
        <w:tab/>
        <w:t>Rizik likvidnosti</w:t>
      </w:r>
    </w:p>
    <w:p w14:paraId="4CF757CA" w14:textId="77777777" w:rsidR="00631C11" w:rsidRPr="00332B98" w:rsidRDefault="00631C11" w:rsidP="00631C11">
      <w:pPr>
        <w:spacing w:after="0" w:line="240" w:lineRule="auto"/>
        <w:rPr>
          <w:rFonts w:ascii="Times New Roman" w:eastAsia="Times New Roman" w:hAnsi="Times New Roman" w:cs="Times New Roman"/>
          <w:bCs/>
        </w:rPr>
      </w:pPr>
    </w:p>
    <w:p w14:paraId="47EFC935" w14:textId="77777777" w:rsidR="00631C11" w:rsidRPr="00332B98" w:rsidRDefault="00631C11" w:rsidP="00631C11">
      <w:pPr>
        <w:spacing w:after="0" w:line="240" w:lineRule="auto"/>
        <w:jc w:val="both"/>
        <w:rPr>
          <w:rFonts w:ascii="Times New Roman" w:eastAsia="Times New Roman" w:hAnsi="Times New Roman" w:cs="Times New Roman"/>
          <w:bCs/>
        </w:rPr>
      </w:pPr>
      <w:r w:rsidRPr="00332B98">
        <w:rPr>
          <w:rFonts w:ascii="Times New Roman" w:eastAsia="Times New Roman" w:hAnsi="Times New Roman" w:cs="Times New Roman"/>
          <w:bCs/>
        </w:rPr>
        <w:t xml:space="preserve">Rizik likvidnosti i rizik tijeka gotovine, koji se smatraju rizikom financiranja, određuju se kao opasnost od neusklađenosti dospjelih sredstava i obveza prema izvorima sredstava, što za posljedicu ima teškoće s likvidnošću, odnosno nedostatkom novčanih sredstava za podmirenje dospjelih obveza. </w:t>
      </w:r>
    </w:p>
    <w:p w14:paraId="5506D483" w14:textId="77777777" w:rsidR="00631C11" w:rsidRPr="00332B98" w:rsidRDefault="00631C11" w:rsidP="00631C11">
      <w:pPr>
        <w:spacing w:after="0" w:line="240" w:lineRule="auto"/>
        <w:jc w:val="both"/>
        <w:rPr>
          <w:rFonts w:ascii="Times New Roman" w:eastAsia="Times New Roman" w:hAnsi="Times New Roman" w:cs="Times New Roman"/>
          <w:bCs/>
        </w:rPr>
      </w:pPr>
    </w:p>
    <w:p w14:paraId="021392C4" w14:textId="77777777" w:rsidR="00631C11" w:rsidRPr="00332B98" w:rsidRDefault="00631C11" w:rsidP="00631C11">
      <w:pPr>
        <w:spacing w:after="0" w:line="240" w:lineRule="auto"/>
        <w:jc w:val="both"/>
        <w:rPr>
          <w:rFonts w:ascii="Times New Roman" w:eastAsia="Times New Roman" w:hAnsi="Times New Roman" w:cs="Times New Roman"/>
          <w:bCs/>
        </w:rPr>
      </w:pPr>
      <w:r w:rsidRPr="00332B98">
        <w:rPr>
          <w:rFonts w:ascii="Times New Roman" w:eastAsia="Times New Roman" w:hAnsi="Times New Roman" w:cs="Times New Roman"/>
          <w:bCs/>
        </w:rPr>
        <w:t>Uprava veliku pozornost obraća na tok novca, prateći stvarne dnevne promjene, kako se rizik likvidnosti ne bi pogoršavao.</w:t>
      </w:r>
    </w:p>
    <w:p w14:paraId="43F20F44" w14:textId="77777777" w:rsidR="00631C11" w:rsidRPr="00332B98" w:rsidRDefault="00631C11" w:rsidP="00631C11">
      <w:pPr>
        <w:spacing w:after="0" w:line="240" w:lineRule="auto"/>
        <w:jc w:val="both"/>
        <w:rPr>
          <w:rFonts w:ascii="Times New Roman" w:eastAsia="Times New Roman" w:hAnsi="Times New Roman" w:cs="Times New Roman"/>
          <w:bCs/>
        </w:rPr>
      </w:pPr>
    </w:p>
    <w:p w14:paraId="38408809" w14:textId="77777777" w:rsidR="00631C11" w:rsidRPr="00332B98" w:rsidRDefault="00631C11" w:rsidP="00631C11">
      <w:pPr>
        <w:spacing w:after="0" w:line="240" w:lineRule="auto"/>
        <w:jc w:val="both"/>
        <w:rPr>
          <w:rFonts w:ascii="Times New Roman" w:eastAsia="Times New Roman" w:hAnsi="Times New Roman" w:cs="Times New Roman"/>
          <w:bCs/>
        </w:rPr>
      </w:pPr>
    </w:p>
    <w:p w14:paraId="1EAF9411" w14:textId="77777777" w:rsidR="00631C11" w:rsidRPr="00332B98" w:rsidRDefault="00631C11" w:rsidP="00631C11">
      <w:pPr>
        <w:spacing w:after="0" w:line="240" w:lineRule="auto"/>
        <w:rPr>
          <w:rFonts w:ascii="Times New Roman" w:eastAsia="Times New Roman" w:hAnsi="Times New Roman" w:cs="Times New Roman"/>
          <w:b/>
        </w:rPr>
      </w:pPr>
      <w:r w:rsidRPr="00332B98">
        <w:rPr>
          <w:rFonts w:ascii="Times New Roman" w:eastAsia="Times New Roman" w:hAnsi="Times New Roman" w:cs="Times New Roman"/>
          <w:b/>
        </w:rPr>
        <w:t xml:space="preserve">Bilješka 29. </w:t>
      </w:r>
      <w:r w:rsidRPr="00332B98">
        <w:rPr>
          <w:rFonts w:ascii="Times New Roman" w:eastAsia="Times New Roman" w:hAnsi="Times New Roman" w:cs="Times New Roman"/>
          <w:b/>
        </w:rPr>
        <w:tab/>
        <w:t>Potencijalne obveze</w:t>
      </w:r>
    </w:p>
    <w:p w14:paraId="50D01F00" w14:textId="77777777" w:rsidR="00631C11" w:rsidRPr="00332B98" w:rsidRDefault="00631C11" w:rsidP="00631C11">
      <w:pPr>
        <w:spacing w:after="0" w:line="240" w:lineRule="auto"/>
        <w:rPr>
          <w:rFonts w:ascii="Times New Roman" w:eastAsia="Times New Roman" w:hAnsi="Times New Roman" w:cs="Times New Roman"/>
          <w:bCs/>
        </w:rPr>
      </w:pPr>
    </w:p>
    <w:p w14:paraId="5B422022" w14:textId="19720B9D" w:rsidR="00631C11" w:rsidRPr="00332B98" w:rsidRDefault="00631C11" w:rsidP="00631C11">
      <w:pPr>
        <w:spacing w:after="0" w:line="240" w:lineRule="auto"/>
        <w:rPr>
          <w:rFonts w:ascii="Times New Roman" w:eastAsia="Times New Roman" w:hAnsi="Times New Roman" w:cs="Times New Roman"/>
        </w:rPr>
      </w:pPr>
      <w:r w:rsidRPr="00332B98">
        <w:rPr>
          <w:rFonts w:ascii="Times New Roman" w:eastAsia="Times New Roman" w:hAnsi="Times New Roman" w:cs="Times New Roman"/>
        </w:rPr>
        <w:t xml:space="preserve">Društvo vodi spor </w:t>
      </w:r>
      <w:r w:rsidRPr="00332B98">
        <w:rPr>
          <w:rFonts w:ascii="Times New Roman" w:eastAsia="Times New Roman" w:hAnsi="Times New Roman" w:cs="Times New Roman"/>
          <w:bCs/>
        </w:rPr>
        <w:t xml:space="preserve">radi naknade štete iz poslovnih odnosa protiv </w:t>
      </w:r>
      <w:r w:rsidRPr="00332B98">
        <w:rPr>
          <w:rFonts w:ascii="Times New Roman" w:eastAsia="Times New Roman" w:hAnsi="Times New Roman" w:cs="Times New Roman"/>
        </w:rPr>
        <w:t xml:space="preserve"> </w:t>
      </w:r>
      <w:r w:rsidR="006944E3" w:rsidRPr="00332B98">
        <w:rPr>
          <w:rFonts w:ascii="Times New Roman" w:eastAsia="Times New Roman" w:hAnsi="Times New Roman" w:cs="Times New Roman"/>
        </w:rPr>
        <w:t xml:space="preserve"> Vošten</w:t>
      </w:r>
      <w:r w:rsidR="008675AD" w:rsidRPr="00332B98">
        <w:rPr>
          <w:rFonts w:ascii="Times New Roman" w:eastAsia="Times New Roman" w:hAnsi="Times New Roman" w:cs="Times New Roman"/>
        </w:rPr>
        <w:t xml:space="preserve"> Romano</w:t>
      </w:r>
      <w:r w:rsidR="006944E3" w:rsidRPr="00332B98">
        <w:rPr>
          <w:rFonts w:ascii="Times New Roman" w:eastAsia="Times New Roman" w:hAnsi="Times New Roman" w:cs="Times New Roman"/>
        </w:rPr>
        <w:t>.</w:t>
      </w:r>
    </w:p>
    <w:p w14:paraId="778B1FDE" w14:textId="77777777" w:rsidR="00631C11" w:rsidRPr="00332B98" w:rsidRDefault="00631C11" w:rsidP="00631C11">
      <w:pPr>
        <w:spacing w:after="0" w:line="240" w:lineRule="auto"/>
        <w:rPr>
          <w:rFonts w:ascii="Times New Roman" w:eastAsia="Times New Roman" w:hAnsi="Times New Roman" w:cs="Times New Roman"/>
          <w:bCs/>
        </w:rPr>
      </w:pPr>
    </w:p>
    <w:p w14:paraId="1A30A7C6" w14:textId="77777777" w:rsidR="00763305" w:rsidRPr="00332B98" w:rsidRDefault="00763305" w:rsidP="00631C11">
      <w:pPr>
        <w:spacing w:after="0" w:line="240" w:lineRule="auto"/>
        <w:rPr>
          <w:rFonts w:ascii="Times New Roman" w:eastAsia="Times New Roman" w:hAnsi="Times New Roman" w:cs="Times New Roman"/>
          <w:bCs/>
        </w:rPr>
      </w:pPr>
    </w:p>
    <w:p w14:paraId="2F528CB9" w14:textId="77777777" w:rsidR="00631C11" w:rsidRPr="00332B98" w:rsidRDefault="00631C11" w:rsidP="00631C11">
      <w:pPr>
        <w:spacing w:after="0" w:line="240" w:lineRule="auto"/>
        <w:rPr>
          <w:rFonts w:ascii="Times New Roman" w:eastAsia="Times New Roman" w:hAnsi="Times New Roman" w:cs="Times New Roman"/>
          <w:b/>
        </w:rPr>
      </w:pPr>
      <w:r w:rsidRPr="00332B98">
        <w:rPr>
          <w:rFonts w:ascii="Times New Roman" w:eastAsia="Times New Roman" w:hAnsi="Times New Roman" w:cs="Times New Roman"/>
          <w:b/>
        </w:rPr>
        <w:t>Bilješka 30.</w:t>
      </w:r>
      <w:r w:rsidRPr="00332B98">
        <w:rPr>
          <w:rFonts w:ascii="Times New Roman" w:eastAsia="Times New Roman" w:hAnsi="Times New Roman" w:cs="Times New Roman"/>
          <w:b/>
        </w:rPr>
        <w:tab/>
        <w:t>Značajne računovodstvene procjene i prosudbe</w:t>
      </w:r>
    </w:p>
    <w:p w14:paraId="0CED5F77" w14:textId="77777777" w:rsidR="00631C11" w:rsidRPr="00332B98" w:rsidRDefault="00631C11" w:rsidP="00631C11">
      <w:pPr>
        <w:spacing w:after="0" w:line="240" w:lineRule="auto"/>
        <w:rPr>
          <w:rFonts w:ascii="Times New Roman" w:eastAsia="Times New Roman" w:hAnsi="Times New Roman" w:cs="Times New Roman"/>
          <w:bCs/>
        </w:rPr>
      </w:pPr>
    </w:p>
    <w:p w14:paraId="09740BEF" w14:textId="77777777" w:rsidR="00631C11" w:rsidRPr="00332B98" w:rsidRDefault="00631C11" w:rsidP="00631C11">
      <w:pPr>
        <w:pStyle w:val="ListParagraph"/>
        <w:numPr>
          <w:ilvl w:val="0"/>
          <w:numId w:val="6"/>
        </w:numPr>
        <w:spacing w:line="240" w:lineRule="auto"/>
        <w:rPr>
          <w:rFonts w:ascii="Times New Roman" w:eastAsia="Times New Roman" w:hAnsi="Times New Roman"/>
          <w:b/>
        </w:rPr>
      </w:pPr>
      <w:r w:rsidRPr="00332B98">
        <w:rPr>
          <w:rFonts w:ascii="Times New Roman" w:eastAsia="Times New Roman" w:hAnsi="Times New Roman"/>
          <w:b/>
        </w:rPr>
        <w:t>Značajne računovodstvene procjene i izvori</w:t>
      </w:r>
    </w:p>
    <w:p w14:paraId="43FA900A" w14:textId="77777777" w:rsidR="00631C11" w:rsidRPr="00332B98" w:rsidRDefault="00631C11" w:rsidP="00631C11">
      <w:pPr>
        <w:pStyle w:val="ListParagraph"/>
        <w:spacing w:line="240" w:lineRule="auto"/>
        <w:rPr>
          <w:rFonts w:ascii="Times New Roman" w:eastAsia="Times New Roman" w:hAnsi="Times New Roman"/>
          <w:b/>
        </w:rPr>
      </w:pPr>
    </w:p>
    <w:p w14:paraId="7E749CA8" w14:textId="77777777" w:rsidR="00631C11" w:rsidRPr="00332B98" w:rsidRDefault="00631C11" w:rsidP="00631C11">
      <w:pPr>
        <w:spacing w:after="0" w:line="240" w:lineRule="auto"/>
        <w:rPr>
          <w:rFonts w:ascii="Times New Roman" w:eastAsia="Times New Roman" w:hAnsi="Times New Roman" w:cs="Times New Roman"/>
          <w:b/>
        </w:rPr>
      </w:pPr>
      <w:r w:rsidRPr="00332B98">
        <w:rPr>
          <w:rFonts w:ascii="Times New Roman" w:eastAsia="Times New Roman" w:hAnsi="Times New Roman" w:cs="Times New Roman"/>
          <w:b/>
        </w:rPr>
        <w:t xml:space="preserve">Porez na dobit </w:t>
      </w:r>
    </w:p>
    <w:p w14:paraId="5AAACEBE" w14:textId="77777777" w:rsidR="00631C11" w:rsidRPr="00332B98" w:rsidRDefault="00631C11" w:rsidP="00631C11">
      <w:pPr>
        <w:spacing w:after="0" w:line="240" w:lineRule="auto"/>
        <w:rPr>
          <w:rFonts w:ascii="Times New Roman" w:eastAsia="Times New Roman" w:hAnsi="Times New Roman" w:cs="Times New Roman"/>
          <w:bCs/>
        </w:rPr>
      </w:pPr>
    </w:p>
    <w:p w14:paraId="65CA36A6" w14:textId="77777777" w:rsidR="00631C11" w:rsidRPr="00332B98" w:rsidRDefault="00631C11" w:rsidP="00631C11">
      <w:pPr>
        <w:spacing w:after="0" w:line="240" w:lineRule="auto"/>
        <w:rPr>
          <w:rFonts w:ascii="Times New Roman" w:eastAsia="Times New Roman" w:hAnsi="Times New Roman" w:cs="Times New Roman"/>
          <w:bCs/>
        </w:rPr>
      </w:pPr>
      <w:r w:rsidRPr="00332B98">
        <w:rPr>
          <w:rFonts w:ascii="Times New Roman" w:eastAsia="Times New Roman" w:hAnsi="Times New Roman" w:cs="Times New Roman"/>
          <w:bCs/>
        </w:rPr>
        <w:t>Kalkulacija poreza na dobit je rađena na temelju važećih pravila i zakona. Kalkulacije koje su osnova za izračun poreza na dobit mogu biti predmet provjere poreznih vlasti.</w:t>
      </w:r>
    </w:p>
    <w:p w14:paraId="199F602A" w14:textId="77777777" w:rsidR="00631C11" w:rsidRPr="00332B98" w:rsidRDefault="00631C11" w:rsidP="00631C11">
      <w:pPr>
        <w:spacing w:after="0" w:line="240" w:lineRule="auto"/>
        <w:rPr>
          <w:rFonts w:ascii="Times New Roman" w:eastAsia="Times New Roman" w:hAnsi="Times New Roman" w:cs="Times New Roman"/>
          <w:bCs/>
        </w:rPr>
      </w:pPr>
    </w:p>
    <w:p w14:paraId="560CE428" w14:textId="77777777" w:rsidR="00BB5090" w:rsidRPr="00332B98" w:rsidRDefault="00BB5090" w:rsidP="00F5210A">
      <w:pPr>
        <w:spacing w:after="0" w:line="240" w:lineRule="auto"/>
        <w:jc w:val="right"/>
        <w:rPr>
          <w:rFonts w:ascii="Times New Roman" w:eastAsia="Times New Roman" w:hAnsi="Times New Roman" w:cs="Times New Roman"/>
          <w:bCs/>
        </w:rPr>
      </w:pPr>
    </w:p>
    <w:p w14:paraId="4799B450" w14:textId="77777777" w:rsidR="00BB5090" w:rsidRPr="00332B98" w:rsidRDefault="00BB5090" w:rsidP="00F5210A">
      <w:pPr>
        <w:spacing w:after="0" w:line="240" w:lineRule="auto"/>
        <w:jc w:val="right"/>
        <w:rPr>
          <w:rFonts w:ascii="Times New Roman" w:eastAsia="Times New Roman" w:hAnsi="Times New Roman" w:cs="Times New Roman"/>
          <w:bCs/>
        </w:rPr>
      </w:pPr>
    </w:p>
    <w:p w14:paraId="3653C225" w14:textId="20C7DEE0" w:rsidR="00F5210A" w:rsidRPr="00332B98" w:rsidRDefault="00F5210A" w:rsidP="00F5210A">
      <w:pPr>
        <w:spacing w:after="0" w:line="240" w:lineRule="auto"/>
        <w:jc w:val="right"/>
        <w:rPr>
          <w:rFonts w:ascii="Times New Roman" w:eastAsia="Times New Roman" w:hAnsi="Times New Roman" w:cs="Times New Roman"/>
          <w:bCs/>
        </w:rPr>
      </w:pPr>
      <w:r w:rsidRPr="00332B98">
        <w:rPr>
          <w:rFonts w:ascii="Times New Roman" w:eastAsia="Times New Roman" w:hAnsi="Times New Roman" w:cs="Times New Roman"/>
          <w:bCs/>
        </w:rPr>
        <w:t>1</w:t>
      </w:r>
      <w:r w:rsidR="00BB5090" w:rsidRPr="00332B98">
        <w:rPr>
          <w:rFonts w:ascii="Times New Roman" w:eastAsia="Times New Roman" w:hAnsi="Times New Roman" w:cs="Times New Roman"/>
          <w:bCs/>
        </w:rPr>
        <w:t>5</w:t>
      </w:r>
    </w:p>
    <w:p w14:paraId="293A22BF" w14:textId="77777777" w:rsidR="00F5210A" w:rsidRPr="00332B98" w:rsidRDefault="00F5210A" w:rsidP="00F5210A">
      <w:pPr>
        <w:spacing w:line="240" w:lineRule="auto"/>
        <w:rPr>
          <w:rFonts w:ascii="Times New Roman" w:eastAsia="Times New Roman" w:hAnsi="Times New Roman" w:cs="Times New Roman"/>
          <w:b/>
        </w:rPr>
      </w:pPr>
    </w:p>
    <w:p w14:paraId="2B7FB240" w14:textId="77777777" w:rsidR="00631C11" w:rsidRPr="00332B98" w:rsidRDefault="00631C11" w:rsidP="00631C11">
      <w:pPr>
        <w:pStyle w:val="ListParagraph"/>
        <w:numPr>
          <w:ilvl w:val="0"/>
          <w:numId w:val="6"/>
        </w:numPr>
        <w:spacing w:line="240" w:lineRule="auto"/>
        <w:rPr>
          <w:rFonts w:ascii="Times New Roman" w:eastAsia="Times New Roman" w:hAnsi="Times New Roman"/>
          <w:b/>
        </w:rPr>
      </w:pPr>
      <w:r w:rsidRPr="00332B98">
        <w:rPr>
          <w:rFonts w:ascii="Times New Roman" w:eastAsia="Times New Roman" w:hAnsi="Times New Roman"/>
          <w:b/>
        </w:rPr>
        <w:lastRenderedPageBreak/>
        <w:t>Značajne računovodstvene prosudbe u primjeni računovodstvenih standarda</w:t>
      </w:r>
    </w:p>
    <w:p w14:paraId="5CE60476" w14:textId="77777777" w:rsidR="00631C11" w:rsidRPr="00332B98" w:rsidRDefault="00631C11" w:rsidP="00631C11">
      <w:pPr>
        <w:spacing w:after="0" w:line="240" w:lineRule="auto"/>
        <w:rPr>
          <w:rFonts w:ascii="Times New Roman" w:eastAsia="Times New Roman" w:hAnsi="Times New Roman" w:cs="Times New Roman"/>
          <w:bCs/>
        </w:rPr>
      </w:pPr>
    </w:p>
    <w:p w14:paraId="7F45FA15" w14:textId="77777777" w:rsidR="00631C11" w:rsidRPr="00332B98" w:rsidRDefault="00631C11" w:rsidP="00631C11">
      <w:pPr>
        <w:spacing w:after="0" w:line="240" w:lineRule="auto"/>
        <w:rPr>
          <w:rFonts w:ascii="Times New Roman" w:eastAsia="Times New Roman" w:hAnsi="Times New Roman" w:cs="Times New Roman"/>
          <w:bCs/>
        </w:rPr>
      </w:pPr>
      <w:r w:rsidRPr="00332B98">
        <w:rPr>
          <w:rFonts w:ascii="Times New Roman" w:eastAsia="Times New Roman" w:hAnsi="Times New Roman" w:cs="Times New Roman"/>
          <w:bCs/>
        </w:rPr>
        <w:t>Uprava vjeruje da nema nikakvih značajnih prosudbi i procjena koje je bilo potrebno iskazati u izvještajima</w:t>
      </w:r>
    </w:p>
    <w:p w14:paraId="3A97E1F4" w14:textId="77777777" w:rsidR="00631C11" w:rsidRPr="00332B98" w:rsidRDefault="00631C11" w:rsidP="00631C11">
      <w:pPr>
        <w:spacing w:after="0" w:line="240" w:lineRule="auto"/>
        <w:rPr>
          <w:rFonts w:ascii="Times New Roman" w:eastAsia="Times New Roman" w:hAnsi="Times New Roman" w:cs="Times New Roman"/>
          <w:bCs/>
        </w:rPr>
      </w:pPr>
    </w:p>
    <w:p w14:paraId="6FC41DE3" w14:textId="77777777" w:rsidR="00631C11" w:rsidRPr="00332B98" w:rsidRDefault="00631C11" w:rsidP="00631C11">
      <w:pPr>
        <w:spacing w:after="0" w:line="240" w:lineRule="auto"/>
        <w:rPr>
          <w:rFonts w:ascii="Times New Roman" w:eastAsia="Times New Roman" w:hAnsi="Times New Roman" w:cs="Times New Roman"/>
          <w:bCs/>
        </w:rPr>
      </w:pPr>
    </w:p>
    <w:p w14:paraId="51BB7BE9" w14:textId="77777777" w:rsidR="00631C11" w:rsidRPr="00332B98" w:rsidRDefault="00631C11" w:rsidP="00631C11">
      <w:pPr>
        <w:spacing w:after="0" w:line="240" w:lineRule="auto"/>
        <w:rPr>
          <w:rFonts w:ascii="Times New Roman" w:eastAsia="Times New Roman" w:hAnsi="Times New Roman" w:cs="Times New Roman"/>
          <w:b/>
        </w:rPr>
      </w:pPr>
      <w:r w:rsidRPr="00332B98">
        <w:rPr>
          <w:rFonts w:ascii="Times New Roman" w:eastAsia="Times New Roman" w:hAnsi="Times New Roman" w:cs="Times New Roman"/>
          <w:b/>
        </w:rPr>
        <w:t>Bilješka 31.</w:t>
      </w:r>
      <w:r w:rsidRPr="00332B98">
        <w:rPr>
          <w:rFonts w:ascii="Times New Roman" w:eastAsia="Times New Roman" w:hAnsi="Times New Roman" w:cs="Times New Roman"/>
          <w:b/>
        </w:rPr>
        <w:tab/>
        <w:t xml:space="preserve">Događaji nakon datuma bilance </w:t>
      </w:r>
    </w:p>
    <w:p w14:paraId="208D6998" w14:textId="77777777" w:rsidR="00631C11" w:rsidRPr="00332B98" w:rsidRDefault="00631C11" w:rsidP="00631C11">
      <w:pPr>
        <w:spacing w:after="0" w:line="240" w:lineRule="auto"/>
        <w:jc w:val="both"/>
        <w:rPr>
          <w:rFonts w:ascii="Times New Roman" w:eastAsia="Times New Roman" w:hAnsi="Times New Roman" w:cs="Times New Roman"/>
          <w:b/>
        </w:rPr>
      </w:pPr>
    </w:p>
    <w:p w14:paraId="2AF06751" w14:textId="362F9E65" w:rsidR="00D248B1" w:rsidRPr="00332B98" w:rsidRDefault="00D248B1" w:rsidP="00D248B1">
      <w:pPr>
        <w:spacing w:after="0" w:line="240" w:lineRule="auto"/>
        <w:jc w:val="both"/>
        <w:rPr>
          <w:rFonts w:ascii="Times New Roman" w:eastAsia="Calibri" w:hAnsi="Times New Roman" w:cs="Times New Roman"/>
        </w:rPr>
      </w:pPr>
      <w:r w:rsidRPr="00332B98">
        <w:rPr>
          <w:rFonts w:ascii="Times New Roman" w:eastAsia="Calibri" w:hAnsi="Times New Roman" w:cs="Times New Roman"/>
        </w:rPr>
        <w:t>Nakon datuma bilance nije bilo događaja koji bi značajno utjecali na godišnje financijske izvještaje Društva za 202</w:t>
      </w:r>
      <w:r w:rsidR="00781326" w:rsidRPr="00332B98">
        <w:rPr>
          <w:rFonts w:ascii="Times New Roman" w:eastAsia="Calibri" w:hAnsi="Times New Roman" w:cs="Times New Roman"/>
        </w:rPr>
        <w:t>2</w:t>
      </w:r>
      <w:r w:rsidRPr="00332B98">
        <w:rPr>
          <w:rFonts w:ascii="Times New Roman" w:eastAsia="Calibri" w:hAnsi="Times New Roman" w:cs="Times New Roman"/>
        </w:rPr>
        <w:t>. godinu, koji bi, slijedom toga trebali biti objavljeni.</w:t>
      </w:r>
    </w:p>
    <w:p w14:paraId="63B86198" w14:textId="77777777" w:rsidR="00D248B1" w:rsidRPr="00332B98" w:rsidRDefault="00D248B1" w:rsidP="00D248B1">
      <w:pPr>
        <w:spacing w:after="0" w:line="240" w:lineRule="auto"/>
        <w:jc w:val="both"/>
        <w:rPr>
          <w:rFonts w:ascii="Times New Roman" w:eastAsia="Calibri" w:hAnsi="Times New Roman" w:cs="Times New Roman"/>
        </w:rPr>
      </w:pPr>
    </w:p>
    <w:p w14:paraId="74F2D90A" w14:textId="77777777" w:rsidR="00631C11" w:rsidRPr="00332B98" w:rsidRDefault="00631C11" w:rsidP="00631C11">
      <w:pPr>
        <w:jc w:val="both"/>
        <w:rPr>
          <w:rFonts w:ascii="Times New Roman" w:hAnsi="Times New Roman" w:cs="Times New Roman"/>
          <w:b/>
        </w:rPr>
      </w:pPr>
      <w:r w:rsidRPr="00332B98">
        <w:rPr>
          <w:rFonts w:ascii="Times New Roman" w:hAnsi="Times New Roman" w:cs="Times New Roman"/>
          <w:b/>
        </w:rPr>
        <w:t>Bilješka 32.</w:t>
      </w:r>
      <w:r w:rsidRPr="00332B98">
        <w:rPr>
          <w:rFonts w:ascii="Times New Roman" w:hAnsi="Times New Roman" w:cs="Times New Roman"/>
          <w:b/>
        </w:rPr>
        <w:tab/>
        <w:t>Sastavljanje i odobravanje financijskih izvještaja</w:t>
      </w:r>
    </w:p>
    <w:p w14:paraId="237D4B3F" w14:textId="07BFA357" w:rsidR="00631C11" w:rsidRPr="00332B98" w:rsidRDefault="00631C11" w:rsidP="00631C11">
      <w:pPr>
        <w:jc w:val="both"/>
        <w:rPr>
          <w:rFonts w:ascii="Times New Roman" w:hAnsi="Times New Roman" w:cs="Times New Roman"/>
        </w:rPr>
      </w:pPr>
      <w:r w:rsidRPr="00332B98">
        <w:rPr>
          <w:rFonts w:ascii="Times New Roman" w:hAnsi="Times New Roman" w:cs="Times New Roman"/>
        </w:rPr>
        <w:t>Uprava društva odgovorna je za sastavljanje i odobravanje financijskih izvještaja. Uprava društva odobrila je financijske izvještaje, dana 2</w:t>
      </w:r>
      <w:r w:rsidR="00781326" w:rsidRPr="00332B98">
        <w:rPr>
          <w:rFonts w:ascii="Times New Roman" w:hAnsi="Times New Roman" w:cs="Times New Roman"/>
        </w:rPr>
        <w:t>7</w:t>
      </w:r>
      <w:r w:rsidRPr="00332B98">
        <w:rPr>
          <w:rFonts w:ascii="Times New Roman" w:hAnsi="Times New Roman" w:cs="Times New Roman"/>
        </w:rPr>
        <w:t>. lipnja 202</w:t>
      </w:r>
      <w:r w:rsidR="00781326" w:rsidRPr="00332B98">
        <w:rPr>
          <w:rFonts w:ascii="Times New Roman" w:hAnsi="Times New Roman" w:cs="Times New Roman"/>
        </w:rPr>
        <w:t>3</w:t>
      </w:r>
      <w:r w:rsidRPr="00332B98">
        <w:rPr>
          <w:rFonts w:ascii="Times New Roman" w:hAnsi="Times New Roman" w:cs="Times New Roman"/>
        </w:rPr>
        <w:t>. godine.</w:t>
      </w:r>
    </w:p>
    <w:p w14:paraId="18BC780C" w14:textId="77777777" w:rsidR="00631C11" w:rsidRPr="00332B98" w:rsidRDefault="00631C11" w:rsidP="00631C11">
      <w:pPr>
        <w:spacing w:after="0" w:line="240" w:lineRule="auto"/>
        <w:rPr>
          <w:rFonts w:ascii="Times New Roman" w:eastAsia="Times New Roman" w:hAnsi="Times New Roman" w:cs="Times New Roman"/>
          <w:bCs/>
        </w:rPr>
      </w:pPr>
    </w:p>
    <w:p w14:paraId="2B8CCFD2" w14:textId="77777777" w:rsidR="00631C11" w:rsidRPr="00332B98" w:rsidRDefault="00631C11" w:rsidP="00131D13">
      <w:pPr>
        <w:spacing w:after="0" w:line="240" w:lineRule="auto"/>
        <w:jc w:val="both"/>
        <w:rPr>
          <w:rFonts w:ascii="Times New Roman" w:eastAsia="Times New Roman" w:hAnsi="Times New Roman" w:cs="Times New Roman"/>
        </w:rPr>
      </w:pPr>
    </w:p>
    <w:p w14:paraId="0AC9A6F9" w14:textId="77777777" w:rsidR="00131D13" w:rsidRPr="00332B98" w:rsidRDefault="00131D13" w:rsidP="00131D13">
      <w:pPr>
        <w:spacing w:after="0" w:line="240" w:lineRule="auto"/>
        <w:jc w:val="both"/>
        <w:rPr>
          <w:rFonts w:ascii="Times New Roman" w:eastAsia="Times New Roman" w:hAnsi="Times New Roman" w:cs="Times New Roman"/>
        </w:rPr>
      </w:pPr>
    </w:p>
    <w:p w14:paraId="1CC2D793" w14:textId="77777777" w:rsidR="00131D13" w:rsidRPr="00332B98" w:rsidRDefault="00131D13" w:rsidP="00131D13">
      <w:pPr>
        <w:spacing w:after="0" w:line="240" w:lineRule="auto"/>
        <w:jc w:val="both"/>
        <w:rPr>
          <w:rFonts w:ascii="Times New Roman" w:eastAsia="Times New Roman" w:hAnsi="Times New Roman" w:cs="Times New Roman"/>
        </w:rPr>
      </w:pPr>
    </w:p>
    <w:p w14:paraId="79D4DA5F" w14:textId="6A70EDA1" w:rsidR="00131D13" w:rsidRPr="00332B98" w:rsidRDefault="00131D13" w:rsidP="00131D13">
      <w:pPr>
        <w:spacing w:after="0" w:line="240" w:lineRule="auto"/>
        <w:jc w:val="both"/>
        <w:rPr>
          <w:rFonts w:ascii="Times New Roman" w:eastAsia="Times New Roman" w:hAnsi="Times New Roman" w:cs="Times New Roman"/>
        </w:rPr>
      </w:pPr>
      <w:r w:rsidRPr="00332B98">
        <w:rPr>
          <w:rFonts w:ascii="Times New Roman" w:eastAsia="Times New Roman" w:hAnsi="Times New Roman" w:cs="Times New Roman"/>
        </w:rPr>
        <w:t>U Puli, 2</w:t>
      </w:r>
      <w:r w:rsidR="00781326" w:rsidRPr="00332B98">
        <w:rPr>
          <w:rFonts w:ascii="Times New Roman" w:eastAsia="Times New Roman" w:hAnsi="Times New Roman" w:cs="Times New Roman"/>
        </w:rPr>
        <w:t>7</w:t>
      </w:r>
      <w:r w:rsidRPr="00332B98">
        <w:rPr>
          <w:rFonts w:ascii="Times New Roman" w:eastAsia="Times New Roman" w:hAnsi="Times New Roman" w:cs="Times New Roman"/>
        </w:rPr>
        <w:t>.06.20</w:t>
      </w:r>
      <w:r w:rsidR="000445AA" w:rsidRPr="00332B98">
        <w:rPr>
          <w:rFonts w:ascii="Times New Roman" w:eastAsia="Times New Roman" w:hAnsi="Times New Roman" w:cs="Times New Roman"/>
        </w:rPr>
        <w:t>2</w:t>
      </w:r>
      <w:r w:rsidR="00781326" w:rsidRPr="00332B98">
        <w:rPr>
          <w:rFonts w:ascii="Times New Roman" w:eastAsia="Times New Roman" w:hAnsi="Times New Roman" w:cs="Times New Roman"/>
        </w:rPr>
        <w:t>3</w:t>
      </w:r>
      <w:r w:rsidRPr="00332B98">
        <w:rPr>
          <w:rFonts w:ascii="Times New Roman" w:eastAsia="Times New Roman" w:hAnsi="Times New Roman" w:cs="Times New Roman"/>
        </w:rPr>
        <w:t>.</w:t>
      </w:r>
    </w:p>
    <w:p w14:paraId="75CA62A6" w14:textId="77777777" w:rsidR="00131D13" w:rsidRPr="00332B98" w:rsidRDefault="00131D13" w:rsidP="00131D13">
      <w:pPr>
        <w:spacing w:after="0" w:line="240" w:lineRule="auto"/>
        <w:jc w:val="both"/>
        <w:rPr>
          <w:rFonts w:ascii="Times New Roman" w:eastAsia="Times New Roman" w:hAnsi="Times New Roman" w:cs="Times New Roman"/>
        </w:rPr>
      </w:pPr>
    </w:p>
    <w:p w14:paraId="7037691F" w14:textId="77777777" w:rsidR="00131D13" w:rsidRPr="00332B98" w:rsidRDefault="00131D13" w:rsidP="00131D13">
      <w:pPr>
        <w:spacing w:after="0" w:line="240" w:lineRule="auto"/>
        <w:jc w:val="both"/>
        <w:rPr>
          <w:rFonts w:ascii="Times New Roman" w:eastAsia="Times New Roman" w:hAnsi="Times New Roman" w:cs="Times New Roman"/>
          <w:lang w:val="en-US"/>
        </w:rPr>
      </w:pPr>
      <w:r w:rsidRPr="00332B98">
        <w:rPr>
          <w:rFonts w:ascii="Times New Roman" w:eastAsia="Times New Roman" w:hAnsi="Times New Roman" w:cs="Times New Roman"/>
        </w:rPr>
        <w:t>________________________________</w:t>
      </w:r>
      <w:r w:rsidRPr="00332B98">
        <w:rPr>
          <w:rFonts w:ascii="Times New Roman" w:eastAsia="Times New Roman" w:hAnsi="Times New Roman" w:cs="Times New Roman"/>
          <w:lang w:val="en-US"/>
        </w:rPr>
        <w:tab/>
      </w:r>
      <w:r w:rsidRPr="00332B98">
        <w:rPr>
          <w:rFonts w:ascii="Times New Roman" w:eastAsia="Times New Roman" w:hAnsi="Times New Roman" w:cs="Times New Roman"/>
          <w:lang w:val="en-US"/>
        </w:rPr>
        <w:tab/>
      </w:r>
      <w:r w:rsidRPr="00332B98">
        <w:rPr>
          <w:rFonts w:ascii="Times New Roman" w:eastAsia="Times New Roman" w:hAnsi="Times New Roman" w:cs="Times New Roman"/>
          <w:lang w:val="en-US"/>
        </w:rPr>
        <w:tab/>
        <w:t>________________________</w:t>
      </w:r>
    </w:p>
    <w:p w14:paraId="18C8BCFB" w14:textId="77777777" w:rsidR="00131D13" w:rsidRPr="00332B98" w:rsidRDefault="00131D13" w:rsidP="00131D13">
      <w:pPr>
        <w:spacing w:after="0" w:line="240" w:lineRule="auto"/>
        <w:rPr>
          <w:rFonts w:ascii="Times New Roman" w:eastAsia="Times New Roman" w:hAnsi="Times New Roman" w:cs="Times New Roman"/>
          <w:lang w:val="en-US"/>
        </w:rPr>
      </w:pPr>
    </w:p>
    <w:p w14:paraId="6806A041" w14:textId="21B42CE3" w:rsidR="00131D13" w:rsidRPr="00332B98" w:rsidRDefault="00131D13" w:rsidP="00131D13">
      <w:pPr>
        <w:spacing w:after="0" w:line="240" w:lineRule="auto"/>
        <w:rPr>
          <w:rFonts w:ascii="Times New Roman" w:eastAsia="Times New Roman" w:hAnsi="Times New Roman" w:cs="Times New Roman"/>
        </w:rPr>
      </w:pPr>
      <w:r w:rsidRPr="00332B98">
        <w:rPr>
          <w:rFonts w:ascii="Times New Roman" w:eastAsia="Times New Roman" w:hAnsi="Times New Roman" w:cs="Times New Roman"/>
        </w:rPr>
        <w:t xml:space="preserve">Anita </w:t>
      </w:r>
      <w:proofErr w:type="spellStart"/>
      <w:r w:rsidRPr="00332B98">
        <w:rPr>
          <w:rFonts w:ascii="Times New Roman" w:eastAsia="Times New Roman" w:hAnsi="Times New Roman" w:cs="Times New Roman"/>
        </w:rPr>
        <w:t>Bonašin</w:t>
      </w:r>
      <w:proofErr w:type="spellEnd"/>
      <w:r w:rsidRPr="00332B98">
        <w:rPr>
          <w:rFonts w:ascii="Times New Roman" w:eastAsia="Times New Roman" w:hAnsi="Times New Roman" w:cs="Times New Roman"/>
        </w:rPr>
        <w:tab/>
      </w:r>
      <w:r w:rsidRPr="00332B98">
        <w:rPr>
          <w:rFonts w:ascii="Times New Roman" w:eastAsia="Times New Roman" w:hAnsi="Times New Roman" w:cs="Times New Roman"/>
        </w:rPr>
        <w:tab/>
      </w:r>
      <w:r w:rsidRPr="00332B98">
        <w:rPr>
          <w:rFonts w:ascii="Times New Roman" w:eastAsia="Times New Roman" w:hAnsi="Times New Roman" w:cs="Times New Roman"/>
        </w:rPr>
        <w:tab/>
      </w:r>
      <w:r w:rsidRPr="00332B98">
        <w:rPr>
          <w:rFonts w:ascii="Times New Roman" w:eastAsia="Times New Roman" w:hAnsi="Times New Roman" w:cs="Times New Roman"/>
        </w:rPr>
        <w:tab/>
      </w:r>
      <w:r w:rsidRPr="00332B98">
        <w:rPr>
          <w:rFonts w:ascii="Times New Roman" w:eastAsia="Times New Roman" w:hAnsi="Times New Roman" w:cs="Times New Roman"/>
        </w:rPr>
        <w:tab/>
      </w:r>
      <w:r w:rsidRPr="00332B98">
        <w:rPr>
          <w:rFonts w:ascii="Times New Roman" w:eastAsia="Times New Roman" w:hAnsi="Times New Roman" w:cs="Times New Roman"/>
        </w:rPr>
        <w:tab/>
      </w:r>
      <w:r w:rsidR="007B2FDE" w:rsidRPr="00332B98">
        <w:rPr>
          <w:rFonts w:ascii="Times New Roman" w:eastAsia="Times New Roman" w:hAnsi="Times New Roman" w:cs="Times New Roman"/>
        </w:rPr>
        <w:t>D</w:t>
      </w:r>
      <w:r w:rsidRPr="00332B98">
        <w:rPr>
          <w:rFonts w:ascii="Times New Roman" w:eastAsia="Times New Roman" w:hAnsi="Times New Roman" w:cs="Times New Roman"/>
        </w:rPr>
        <w:t>arko B</w:t>
      </w:r>
      <w:r w:rsidR="007B2FDE" w:rsidRPr="00332B98">
        <w:rPr>
          <w:rFonts w:ascii="Times New Roman" w:eastAsia="Times New Roman" w:hAnsi="Times New Roman" w:cs="Times New Roman"/>
        </w:rPr>
        <w:t xml:space="preserve">ijelić, </w:t>
      </w:r>
      <w:proofErr w:type="spellStart"/>
      <w:r w:rsidR="007B2FDE" w:rsidRPr="00332B98">
        <w:rPr>
          <w:rFonts w:ascii="Times New Roman" w:eastAsia="Times New Roman" w:hAnsi="Times New Roman" w:cs="Times New Roman"/>
        </w:rPr>
        <w:t>mag.oec</w:t>
      </w:r>
      <w:proofErr w:type="spellEnd"/>
      <w:r w:rsidR="007B2FDE" w:rsidRPr="00332B98">
        <w:rPr>
          <w:rFonts w:ascii="Times New Roman" w:eastAsia="Times New Roman" w:hAnsi="Times New Roman" w:cs="Times New Roman"/>
        </w:rPr>
        <w:t>., direktor</w:t>
      </w:r>
    </w:p>
    <w:p w14:paraId="613ECADB" w14:textId="4244409B" w:rsidR="00131D13" w:rsidRPr="00332B98" w:rsidRDefault="00131D13" w:rsidP="00131D13">
      <w:pPr>
        <w:spacing w:after="0" w:line="240" w:lineRule="auto"/>
        <w:rPr>
          <w:rFonts w:ascii="Times New Roman" w:eastAsia="Times New Roman" w:hAnsi="Times New Roman" w:cs="Times New Roman"/>
        </w:rPr>
      </w:pPr>
      <w:r w:rsidRPr="00332B98">
        <w:rPr>
          <w:rFonts w:ascii="Times New Roman" w:eastAsia="Times New Roman" w:hAnsi="Times New Roman" w:cs="Times New Roman"/>
        </w:rPr>
        <w:t xml:space="preserve">voditelj </w:t>
      </w:r>
      <w:r w:rsidR="00332B98">
        <w:rPr>
          <w:rFonts w:ascii="Times New Roman" w:eastAsia="Times New Roman" w:hAnsi="Times New Roman" w:cs="Times New Roman"/>
        </w:rPr>
        <w:t>financija</w:t>
      </w:r>
      <w:r w:rsidRPr="00332B98">
        <w:rPr>
          <w:rFonts w:ascii="Times New Roman" w:eastAsia="Times New Roman" w:hAnsi="Times New Roman" w:cs="Times New Roman"/>
        </w:rPr>
        <w:tab/>
      </w:r>
      <w:r w:rsidRPr="00332B98">
        <w:rPr>
          <w:rFonts w:ascii="Times New Roman" w:eastAsia="Times New Roman" w:hAnsi="Times New Roman" w:cs="Times New Roman"/>
        </w:rPr>
        <w:tab/>
      </w:r>
      <w:r w:rsidRPr="00332B98">
        <w:rPr>
          <w:rFonts w:ascii="Times New Roman" w:eastAsia="Times New Roman" w:hAnsi="Times New Roman" w:cs="Times New Roman"/>
        </w:rPr>
        <w:tab/>
        <w:t xml:space="preserve">     </w:t>
      </w:r>
    </w:p>
    <w:p w14:paraId="40F92D51" w14:textId="77777777" w:rsidR="00C0127B" w:rsidRPr="00332B98" w:rsidRDefault="00C0127B" w:rsidP="00131D13">
      <w:pPr>
        <w:spacing w:after="0" w:line="240" w:lineRule="auto"/>
        <w:rPr>
          <w:rFonts w:ascii="Times New Roman" w:eastAsia="Times New Roman" w:hAnsi="Times New Roman" w:cs="Times New Roman"/>
        </w:rPr>
      </w:pPr>
    </w:p>
    <w:p w14:paraId="324C5CA3" w14:textId="77777777" w:rsidR="00C0127B" w:rsidRPr="00332B98" w:rsidRDefault="00C0127B" w:rsidP="00131D13">
      <w:pPr>
        <w:spacing w:after="0" w:line="240" w:lineRule="auto"/>
        <w:rPr>
          <w:rFonts w:ascii="Times New Roman" w:eastAsia="Times New Roman" w:hAnsi="Times New Roman" w:cs="Times New Roman"/>
        </w:rPr>
      </w:pPr>
    </w:p>
    <w:p w14:paraId="368A9562" w14:textId="77777777" w:rsidR="00C0127B" w:rsidRPr="00332B98" w:rsidRDefault="00C0127B" w:rsidP="00131D13">
      <w:pPr>
        <w:spacing w:after="0" w:line="240" w:lineRule="auto"/>
        <w:rPr>
          <w:rFonts w:ascii="Times New Roman" w:eastAsia="Times New Roman" w:hAnsi="Times New Roman" w:cs="Times New Roman"/>
        </w:rPr>
      </w:pPr>
    </w:p>
    <w:p w14:paraId="7D91A4F8" w14:textId="77777777" w:rsidR="00C0127B" w:rsidRPr="00332B98" w:rsidRDefault="00C0127B" w:rsidP="00131D13">
      <w:pPr>
        <w:spacing w:after="0" w:line="240" w:lineRule="auto"/>
        <w:rPr>
          <w:rFonts w:ascii="Times New Roman" w:eastAsia="Times New Roman" w:hAnsi="Times New Roman" w:cs="Times New Roman"/>
        </w:rPr>
      </w:pPr>
    </w:p>
    <w:p w14:paraId="5772AC2A" w14:textId="77777777" w:rsidR="00C0127B" w:rsidRPr="00332B98" w:rsidRDefault="00C0127B" w:rsidP="00131D13">
      <w:pPr>
        <w:spacing w:after="0" w:line="240" w:lineRule="auto"/>
        <w:rPr>
          <w:rFonts w:ascii="Times New Roman" w:eastAsia="Times New Roman" w:hAnsi="Times New Roman" w:cs="Times New Roman"/>
        </w:rPr>
      </w:pPr>
    </w:p>
    <w:p w14:paraId="65439AA7" w14:textId="77777777" w:rsidR="00C0127B" w:rsidRPr="00332B98" w:rsidRDefault="00C0127B" w:rsidP="00131D13">
      <w:pPr>
        <w:spacing w:after="0" w:line="240" w:lineRule="auto"/>
        <w:rPr>
          <w:rFonts w:ascii="Times New Roman" w:eastAsia="Times New Roman" w:hAnsi="Times New Roman" w:cs="Times New Roman"/>
        </w:rPr>
      </w:pPr>
    </w:p>
    <w:p w14:paraId="6D90D8E0" w14:textId="77777777" w:rsidR="00C0127B" w:rsidRPr="00332B98" w:rsidRDefault="00C0127B" w:rsidP="00131D13">
      <w:pPr>
        <w:spacing w:after="0" w:line="240" w:lineRule="auto"/>
        <w:rPr>
          <w:rFonts w:ascii="Times New Roman" w:eastAsia="Times New Roman" w:hAnsi="Times New Roman" w:cs="Times New Roman"/>
        </w:rPr>
      </w:pPr>
    </w:p>
    <w:p w14:paraId="19C1E18D" w14:textId="77777777" w:rsidR="005364B4" w:rsidRPr="00C323D2" w:rsidRDefault="005364B4" w:rsidP="00131D13">
      <w:pPr>
        <w:spacing w:after="0" w:line="240" w:lineRule="auto"/>
        <w:rPr>
          <w:rFonts w:ascii="Times New Roman" w:eastAsia="Times New Roman" w:hAnsi="Times New Roman" w:cs="Times New Roman"/>
        </w:rPr>
      </w:pPr>
    </w:p>
    <w:p w14:paraId="3DF69A51" w14:textId="77777777" w:rsidR="005364B4" w:rsidRPr="00C323D2" w:rsidRDefault="005364B4" w:rsidP="00131D13">
      <w:pPr>
        <w:spacing w:after="0" w:line="240" w:lineRule="auto"/>
        <w:rPr>
          <w:rFonts w:ascii="Times New Roman" w:eastAsia="Times New Roman" w:hAnsi="Times New Roman" w:cs="Times New Roman"/>
        </w:rPr>
      </w:pPr>
    </w:p>
    <w:p w14:paraId="388AE2D4" w14:textId="77777777" w:rsidR="005364B4" w:rsidRPr="00C323D2" w:rsidRDefault="005364B4" w:rsidP="00131D13">
      <w:pPr>
        <w:spacing w:after="0" w:line="240" w:lineRule="auto"/>
        <w:rPr>
          <w:rFonts w:ascii="Times New Roman" w:eastAsia="Times New Roman" w:hAnsi="Times New Roman" w:cs="Times New Roman"/>
        </w:rPr>
      </w:pPr>
    </w:p>
    <w:p w14:paraId="432CAAD8" w14:textId="77777777" w:rsidR="005364B4" w:rsidRPr="00C323D2" w:rsidRDefault="005364B4" w:rsidP="00131D13">
      <w:pPr>
        <w:spacing w:after="0" w:line="240" w:lineRule="auto"/>
        <w:rPr>
          <w:rFonts w:ascii="Times New Roman" w:eastAsia="Times New Roman" w:hAnsi="Times New Roman" w:cs="Times New Roman"/>
        </w:rPr>
      </w:pPr>
    </w:p>
    <w:p w14:paraId="23A2F36B" w14:textId="77777777" w:rsidR="005364B4" w:rsidRPr="00C323D2" w:rsidRDefault="005364B4" w:rsidP="00131D13">
      <w:pPr>
        <w:spacing w:after="0" w:line="240" w:lineRule="auto"/>
        <w:rPr>
          <w:rFonts w:ascii="Times New Roman" w:eastAsia="Times New Roman" w:hAnsi="Times New Roman" w:cs="Times New Roman"/>
        </w:rPr>
      </w:pPr>
    </w:p>
    <w:p w14:paraId="3D610645" w14:textId="77777777" w:rsidR="005364B4" w:rsidRPr="00C323D2" w:rsidRDefault="005364B4" w:rsidP="00131D13">
      <w:pPr>
        <w:spacing w:after="0" w:line="240" w:lineRule="auto"/>
        <w:rPr>
          <w:rFonts w:ascii="Times New Roman" w:eastAsia="Times New Roman" w:hAnsi="Times New Roman" w:cs="Times New Roman"/>
        </w:rPr>
      </w:pPr>
    </w:p>
    <w:p w14:paraId="4E3A59F6" w14:textId="77777777" w:rsidR="005364B4" w:rsidRPr="00C323D2" w:rsidRDefault="005364B4" w:rsidP="00131D13">
      <w:pPr>
        <w:spacing w:after="0" w:line="240" w:lineRule="auto"/>
        <w:rPr>
          <w:rFonts w:ascii="Times New Roman" w:eastAsia="Times New Roman" w:hAnsi="Times New Roman" w:cs="Times New Roman"/>
        </w:rPr>
      </w:pPr>
    </w:p>
    <w:p w14:paraId="2F9A047D" w14:textId="77777777" w:rsidR="005364B4" w:rsidRPr="00C323D2" w:rsidRDefault="005364B4" w:rsidP="00131D13">
      <w:pPr>
        <w:spacing w:after="0" w:line="240" w:lineRule="auto"/>
        <w:rPr>
          <w:rFonts w:ascii="Times New Roman" w:eastAsia="Times New Roman" w:hAnsi="Times New Roman" w:cs="Times New Roman"/>
        </w:rPr>
      </w:pPr>
    </w:p>
    <w:p w14:paraId="42AB0C3F" w14:textId="77777777" w:rsidR="005364B4" w:rsidRPr="00C323D2" w:rsidRDefault="005364B4" w:rsidP="00131D13">
      <w:pPr>
        <w:spacing w:after="0" w:line="240" w:lineRule="auto"/>
        <w:rPr>
          <w:rFonts w:ascii="Times New Roman" w:eastAsia="Times New Roman" w:hAnsi="Times New Roman" w:cs="Times New Roman"/>
        </w:rPr>
      </w:pPr>
    </w:p>
    <w:p w14:paraId="3701A8C0" w14:textId="77777777" w:rsidR="005364B4" w:rsidRPr="00C323D2" w:rsidRDefault="005364B4" w:rsidP="00131D13">
      <w:pPr>
        <w:spacing w:after="0" w:line="240" w:lineRule="auto"/>
        <w:rPr>
          <w:rFonts w:ascii="Times New Roman" w:eastAsia="Times New Roman" w:hAnsi="Times New Roman" w:cs="Times New Roman"/>
        </w:rPr>
      </w:pPr>
    </w:p>
    <w:p w14:paraId="55B39BC0" w14:textId="77777777" w:rsidR="005364B4" w:rsidRPr="00C323D2" w:rsidRDefault="005364B4" w:rsidP="00131D13">
      <w:pPr>
        <w:spacing w:after="0" w:line="240" w:lineRule="auto"/>
        <w:rPr>
          <w:rFonts w:ascii="Times New Roman" w:eastAsia="Times New Roman" w:hAnsi="Times New Roman" w:cs="Times New Roman"/>
        </w:rPr>
      </w:pPr>
    </w:p>
    <w:p w14:paraId="666AF1F5" w14:textId="77777777" w:rsidR="005364B4" w:rsidRPr="00C323D2" w:rsidRDefault="005364B4" w:rsidP="00131D13">
      <w:pPr>
        <w:spacing w:after="0" w:line="240" w:lineRule="auto"/>
        <w:rPr>
          <w:rFonts w:ascii="Times New Roman" w:eastAsia="Times New Roman" w:hAnsi="Times New Roman" w:cs="Times New Roman"/>
        </w:rPr>
      </w:pPr>
    </w:p>
    <w:p w14:paraId="2FD142B5" w14:textId="77777777" w:rsidR="005364B4" w:rsidRPr="00C323D2" w:rsidRDefault="005364B4" w:rsidP="00131D13">
      <w:pPr>
        <w:spacing w:after="0" w:line="240" w:lineRule="auto"/>
        <w:rPr>
          <w:rFonts w:ascii="Times New Roman" w:eastAsia="Times New Roman" w:hAnsi="Times New Roman" w:cs="Times New Roman"/>
        </w:rPr>
      </w:pPr>
    </w:p>
    <w:p w14:paraId="09F8F984" w14:textId="77777777" w:rsidR="005364B4" w:rsidRPr="00C323D2" w:rsidRDefault="005364B4" w:rsidP="00131D13">
      <w:pPr>
        <w:spacing w:after="0" w:line="240" w:lineRule="auto"/>
        <w:rPr>
          <w:rFonts w:ascii="Times New Roman" w:eastAsia="Times New Roman" w:hAnsi="Times New Roman" w:cs="Times New Roman"/>
        </w:rPr>
      </w:pPr>
    </w:p>
    <w:p w14:paraId="2F88F5AD" w14:textId="77777777" w:rsidR="005364B4" w:rsidRPr="00C323D2" w:rsidRDefault="005364B4" w:rsidP="00131D13">
      <w:pPr>
        <w:spacing w:after="0" w:line="240" w:lineRule="auto"/>
        <w:rPr>
          <w:rFonts w:ascii="Times New Roman" w:eastAsia="Times New Roman" w:hAnsi="Times New Roman" w:cs="Times New Roman"/>
        </w:rPr>
      </w:pPr>
    </w:p>
    <w:p w14:paraId="3445B495" w14:textId="77777777" w:rsidR="005364B4" w:rsidRPr="00C323D2" w:rsidRDefault="005364B4" w:rsidP="00131D13">
      <w:pPr>
        <w:spacing w:after="0" w:line="240" w:lineRule="auto"/>
        <w:rPr>
          <w:rFonts w:ascii="Times New Roman" w:eastAsia="Times New Roman" w:hAnsi="Times New Roman" w:cs="Times New Roman"/>
        </w:rPr>
      </w:pPr>
    </w:p>
    <w:p w14:paraId="712D7D96" w14:textId="77777777" w:rsidR="005364B4" w:rsidRPr="00C323D2" w:rsidRDefault="005364B4" w:rsidP="00131D13">
      <w:pPr>
        <w:spacing w:after="0" w:line="240" w:lineRule="auto"/>
        <w:rPr>
          <w:rFonts w:ascii="Times New Roman" w:eastAsia="Times New Roman" w:hAnsi="Times New Roman" w:cs="Times New Roman"/>
        </w:rPr>
      </w:pPr>
    </w:p>
    <w:p w14:paraId="7937CBF0" w14:textId="77777777" w:rsidR="005364B4" w:rsidRPr="00C323D2" w:rsidRDefault="005364B4" w:rsidP="00131D13">
      <w:pPr>
        <w:spacing w:after="0" w:line="240" w:lineRule="auto"/>
        <w:rPr>
          <w:rFonts w:ascii="Times New Roman" w:eastAsia="Times New Roman" w:hAnsi="Times New Roman" w:cs="Times New Roman"/>
        </w:rPr>
      </w:pPr>
    </w:p>
    <w:p w14:paraId="6C97BE7B" w14:textId="77777777" w:rsidR="005364B4" w:rsidRPr="00C323D2" w:rsidRDefault="005364B4" w:rsidP="00131D13">
      <w:pPr>
        <w:spacing w:after="0" w:line="240" w:lineRule="auto"/>
        <w:rPr>
          <w:rFonts w:ascii="Times New Roman" w:eastAsia="Times New Roman" w:hAnsi="Times New Roman" w:cs="Times New Roman"/>
        </w:rPr>
      </w:pPr>
    </w:p>
    <w:p w14:paraId="14735E1C" w14:textId="77777777" w:rsidR="005364B4" w:rsidRPr="00C323D2" w:rsidRDefault="005364B4" w:rsidP="00131D13">
      <w:pPr>
        <w:spacing w:after="0" w:line="240" w:lineRule="auto"/>
        <w:rPr>
          <w:rFonts w:ascii="Times New Roman" w:eastAsia="Times New Roman" w:hAnsi="Times New Roman" w:cs="Times New Roman"/>
        </w:rPr>
      </w:pPr>
    </w:p>
    <w:p w14:paraId="5E30F4BA" w14:textId="4B204E3E" w:rsidR="005364B4" w:rsidRPr="00C323D2" w:rsidRDefault="00F5210A" w:rsidP="00F5210A">
      <w:pPr>
        <w:spacing w:after="0" w:line="240" w:lineRule="auto"/>
        <w:jc w:val="right"/>
        <w:rPr>
          <w:rFonts w:ascii="Times New Roman" w:eastAsia="Times New Roman" w:hAnsi="Times New Roman" w:cs="Times New Roman"/>
        </w:rPr>
      </w:pPr>
      <w:r w:rsidRPr="00C323D2">
        <w:rPr>
          <w:rFonts w:ascii="Times New Roman" w:eastAsia="Times New Roman" w:hAnsi="Times New Roman" w:cs="Times New Roman"/>
        </w:rPr>
        <w:t>1</w:t>
      </w:r>
      <w:r w:rsidR="00BB5090">
        <w:rPr>
          <w:rFonts w:ascii="Times New Roman" w:eastAsia="Times New Roman" w:hAnsi="Times New Roman" w:cs="Times New Roman"/>
        </w:rPr>
        <w:t>6</w:t>
      </w:r>
    </w:p>
    <w:sectPr w:rsidR="005364B4" w:rsidRPr="00C323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64DA1" w14:textId="77777777" w:rsidR="00FE1E7A" w:rsidRDefault="00FE1E7A" w:rsidP="008062B7">
      <w:pPr>
        <w:spacing w:after="0" w:line="240" w:lineRule="auto"/>
      </w:pPr>
      <w:r>
        <w:separator/>
      </w:r>
    </w:p>
  </w:endnote>
  <w:endnote w:type="continuationSeparator" w:id="0">
    <w:p w14:paraId="4DFE2358" w14:textId="77777777" w:rsidR="00FE1E7A" w:rsidRDefault="00FE1E7A" w:rsidP="0080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23CE1" w14:textId="77777777" w:rsidR="00FE1E7A" w:rsidRDefault="00FE1E7A" w:rsidP="008062B7">
      <w:pPr>
        <w:spacing w:after="0" w:line="240" w:lineRule="auto"/>
      </w:pPr>
      <w:r>
        <w:separator/>
      </w:r>
    </w:p>
  </w:footnote>
  <w:footnote w:type="continuationSeparator" w:id="0">
    <w:p w14:paraId="6E571F83" w14:textId="77777777" w:rsidR="00FE1E7A" w:rsidRDefault="00FE1E7A" w:rsidP="00806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4D9"/>
    <w:multiLevelType w:val="hybridMultilevel"/>
    <w:tmpl w:val="6EFAD586"/>
    <w:lvl w:ilvl="0" w:tplc="0CF8DA9A">
      <w:start w:val="1"/>
      <w:numFmt w:val="bullet"/>
      <w:lvlText w:val=""/>
      <w:lvlJc w:val="left"/>
      <w:pPr>
        <w:tabs>
          <w:tab w:val="num" w:pos="720"/>
        </w:tabs>
        <w:ind w:left="720" w:hanging="360"/>
      </w:pPr>
      <w:rPr>
        <w:rFonts w:ascii="Symbol" w:hAnsi="Symbol" w:hint="default"/>
      </w:rPr>
    </w:lvl>
    <w:lvl w:ilvl="1" w:tplc="11BCCC9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45090"/>
    <w:multiLevelType w:val="hybridMultilevel"/>
    <w:tmpl w:val="F32EEE72"/>
    <w:lvl w:ilvl="0" w:tplc="041A0005">
      <w:start w:val="1"/>
      <w:numFmt w:val="bullet"/>
      <w:lvlText w:val=""/>
      <w:lvlJc w:val="left"/>
      <w:pPr>
        <w:ind w:left="1065" w:hanging="360"/>
      </w:pPr>
      <w:rPr>
        <w:rFonts w:ascii="Wingdings" w:hAnsi="Wingdings"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2" w15:restartNumberingAfterBreak="0">
    <w:nsid w:val="392623DA"/>
    <w:multiLevelType w:val="hybridMultilevel"/>
    <w:tmpl w:val="FA9859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1882D5B"/>
    <w:multiLevelType w:val="hybridMultilevel"/>
    <w:tmpl w:val="940404EA"/>
    <w:lvl w:ilvl="0" w:tplc="041A0005">
      <w:start w:val="1"/>
      <w:numFmt w:val="bullet"/>
      <w:lvlText w:val=""/>
      <w:lvlJc w:val="left"/>
      <w:pPr>
        <w:ind w:left="1350" w:hanging="360"/>
      </w:pPr>
      <w:rPr>
        <w:rFonts w:ascii="Wingdings" w:hAnsi="Wingdings" w:hint="default"/>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4" w15:restartNumberingAfterBreak="0">
    <w:nsid w:val="442621A0"/>
    <w:multiLevelType w:val="hybridMultilevel"/>
    <w:tmpl w:val="715EC6E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DC94BDC"/>
    <w:multiLevelType w:val="hybridMultilevel"/>
    <w:tmpl w:val="305CA9E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DF"/>
    <w:rsid w:val="00007736"/>
    <w:rsid w:val="000079D3"/>
    <w:rsid w:val="00033B9F"/>
    <w:rsid w:val="000344A0"/>
    <w:rsid w:val="000445AA"/>
    <w:rsid w:val="00047D3E"/>
    <w:rsid w:val="00057239"/>
    <w:rsid w:val="00087B30"/>
    <w:rsid w:val="0009210D"/>
    <w:rsid w:val="000C27FB"/>
    <w:rsid w:val="000E4286"/>
    <w:rsid w:val="000F6F8C"/>
    <w:rsid w:val="001265C7"/>
    <w:rsid w:val="00131D13"/>
    <w:rsid w:val="0013432E"/>
    <w:rsid w:val="00137795"/>
    <w:rsid w:val="0014648D"/>
    <w:rsid w:val="00166B3C"/>
    <w:rsid w:val="001806A2"/>
    <w:rsid w:val="001812DD"/>
    <w:rsid w:val="001947C1"/>
    <w:rsid w:val="001958C5"/>
    <w:rsid w:val="001B4644"/>
    <w:rsid w:val="001C4F6E"/>
    <w:rsid w:val="001D58F7"/>
    <w:rsid w:val="001F6005"/>
    <w:rsid w:val="00206F57"/>
    <w:rsid w:val="0021603E"/>
    <w:rsid w:val="002235D2"/>
    <w:rsid w:val="002E2E43"/>
    <w:rsid w:val="002E7078"/>
    <w:rsid w:val="0031581C"/>
    <w:rsid w:val="003159C9"/>
    <w:rsid w:val="00332B98"/>
    <w:rsid w:val="00341ECD"/>
    <w:rsid w:val="003812D5"/>
    <w:rsid w:val="003836CF"/>
    <w:rsid w:val="003B04D6"/>
    <w:rsid w:val="003B0D9E"/>
    <w:rsid w:val="003B4497"/>
    <w:rsid w:val="003B47C0"/>
    <w:rsid w:val="003C5F17"/>
    <w:rsid w:val="003C6929"/>
    <w:rsid w:val="003D5478"/>
    <w:rsid w:val="003E28E9"/>
    <w:rsid w:val="003E5ED0"/>
    <w:rsid w:val="003F00A7"/>
    <w:rsid w:val="003F7176"/>
    <w:rsid w:val="00410C07"/>
    <w:rsid w:val="00410CF5"/>
    <w:rsid w:val="004200EE"/>
    <w:rsid w:val="00422B5C"/>
    <w:rsid w:val="00422B81"/>
    <w:rsid w:val="00435DB6"/>
    <w:rsid w:val="00462641"/>
    <w:rsid w:val="004702BB"/>
    <w:rsid w:val="004709B1"/>
    <w:rsid w:val="00480C2D"/>
    <w:rsid w:val="00485D29"/>
    <w:rsid w:val="00497674"/>
    <w:rsid w:val="004A7418"/>
    <w:rsid w:val="004F5FD4"/>
    <w:rsid w:val="004F61CA"/>
    <w:rsid w:val="004F6409"/>
    <w:rsid w:val="004F6845"/>
    <w:rsid w:val="005364B4"/>
    <w:rsid w:val="00552C89"/>
    <w:rsid w:val="00561296"/>
    <w:rsid w:val="00565EE1"/>
    <w:rsid w:val="00572307"/>
    <w:rsid w:val="00597818"/>
    <w:rsid w:val="005D4A93"/>
    <w:rsid w:val="005E6397"/>
    <w:rsid w:val="005F4013"/>
    <w:rsid w:val="006005B4"/>
    <w:rsid w:val="006103BC"/>
    <w:rsid w:val="006105D4"/>
    <w:rsid w:val="00631C11"/>
    <w:rsid w:val="00653ADA"/>
    <w:rsid w:val="00665E67"/>
    <w:rsid w:val="006665A4"/>
    <w:rsid w:val="00674870"/>
    <w:rsid w:val="006801E2"/>
    <w:rsid w:val="0068611A"/>
    <w:rsid w:val="006944E3"/>
    <w:rsid w:val="006B51F5"/>
    <w:rsid w:val="006B5481"/>
    <w:rsid w:val="006C7F9A"/>
    <w:rsid w:val="006E2405"/>
    <w:rsid w:val="00706623"/>
    <w:rsid w:val="00710F54"/>
    <w:rsid w:val="00713578"/>
    <w:rsid w:val="00720E1E"/>
    <w:rsid w:val="00743D71"/>
    <w:rsid w:val="00745881"/>
    <w:rsid w:val="00763305"/>
    <w:rsid w:val="00781326"/>
    <w:rsid w:val="00784290"/>
    <w:rsid w:val="0078665F"/>
    <w:rsid w:val="007A7CCE"/>
    <w:rsid w:val="007B2FDE"/>
    <w:rsid w:val="007C7504"/>
    <w:rsid w:val="007F0F03"/>
    <w:rsid w:val="00803BE9"/>
    <w:rsid w:val="008062B7"/>
    <w:rsid w:val="0082278B"/>
    <w:rsid w:val="008246E5"/>
    <w:rsid w:val="00837BA3"/>
    <w:rsid w:val="00840BCC"/>
    <w:rsid w:val="008421D6"/>
    <w:rsid w:val="00851B24"/>
    <w:rsid w:val="00856895"/>
    <w:rsid w:val="00863EA5"/>
    <w:rsid w:val="00866994"/>
    <w:rsid w:val="008675AD"/>
    <w:rsid w:val="008A645B"/>
    <w:rsid w:val="008B01DF"/>
    <w:rsid w:val="008B768E"/>
    <w:rsid w:val="008C1B1B"/>
    <w:rsid w:val="008D39DB"/>
    <w:rsid w:val="008E28D9"/>
    <w:rsid w:val="008E7491"/>
    <w:rsid w:val="008F3E44"/>
    <w:rsid w:val="00901991"/>
    <w:rsid w:val="00904D55"/>
    <w:rsid w:val="00915671"/>
    <w:rsid w:val="0091732B"/>
    <w:rsid w:val="00917AF2"/>
    <w:rsid w:val="009276D2"/>
    <w:rsid w:val="00942C48"/>
    <w:rsid w:val="00953448"/>
    <w:rsid w:val="0095424B"/>
    <w:rsid w:val="00967CB2"/>
    <w:rsid w:val="00981512"/>
    <w:rsid w:val="009845E6"/>
    <w:rsid w:val="00984ACB"/>
    <w:rsid w:val="0098513F"/>
    <w:rsid w:val="009A7393"/>
    <w:rsid w:val="009B6467"/>
    <w:rsid w:val="009C35D5"/>
    <w:rsid w:val="009D451E"/>
    <w:rsid w:val="009E5FAE"/>
    <w:rsid w:val="009F7755"/>
    <w:rsid w:val="00A16F70"/>
    <w:rsid w:val="00A271A6"/>
    <w:rsid w:val="00A41FA8"/>
    <w:rsid w:val="00A5532D"/>
    <w:rsid w:val="00A60465"/>
    <w:rsid w:val="00A64CAE"/>
    <w:rsid w:val="00A660AE"/>
    <w:rsid w:val="00A7073A"/>
    <w:rsid w:val="00A841B9"/>
    <w:rsid w:val="00AE7CC8"/>
    <w:rsid w:val="00B52607"/>
    <w:rsid w:val="00B64A98"/>
    <w:rsid w:val="00B70133"/>
    <w:rsid w:val="00B8213B"/>
    <w:rsid w:val="00B835F3"/>
    <w:rsid w:val="00BA6E46"/>
    <w:rsid w:val="00BB29DA"/>
    <w:rsid w:val="00BB5090"/>
    <w:rsid w:val="00BC426C"/>
    <w:rsid w:val="00BD32E1"/>
    <w:rsid w:val="00BD3A54"/>
    <w:rsid w:val="00BD423B"/>
    <w:rsid w:val="00BE40A4"/>
    <w:rsid w:val="00BF36A8"/>
    <w:rsid w:val="00BF79DF"/>
    <w:rsid w:val="00C0127B"/>
    <w:rsid w:val="00C106B6"/>
    <w:rsid w:val="00C32249"/>
    <w:rsid w:val="00C323D2"/>
    <w:rsid w:val="00C327EE"/>
    <w:rsid w:val="00C328C8"/>
    <w:rsid w:val="00C358A3"/>
    <w:rsid w:val="00C5768A"/>
    <w:rsid w:val="00C75693"/>
    <w:rsid w:val="00C80C1F"/>
    <w:rsid w:val="00C80C72"/>
    <w:rsid w:val="00C92746"/>
    <w:rsid w:val="00CA42C6"/>
    <w:rsid w:val="00CC1B3E"/>
    <w:rsid w:val="00D248B1"/>
    <w:rsid w:val="00D33D16"/>
    <w:rsid w:val="00D40935"/>
    <w:rsid w:val="00D7490A"/>
    <w:rsid w:val="00D811F4"/>
    <w:rsid w:val="00D92014"/>
    <w:rsid w:val="00D93121"/>
    <w:rsid w:val="00DA52E1"/>
    <w:rsid w:val="00DB5243"/>
    <w:rsid w:val="00DC50CD"/>
    <w:rsid w:val="00DD4396"/>
    <w:rsid w:val="00DD66F6"/>
    <w:rsid w:val="00DE35C7"/>
    <w:rsid w:val="00DE6F26"/>
    <w:rsid w:val="00DE7202"/>
    <w:rsid w:val="00DF7601"/>
    <w:rsid w:val="00E01A24"/>
    <w:rsid w:val="00E412A4"/>
    <w:rsid w:val="00E5153C"/>
    <w:rsid w:val="00E57841"/>
    <w:rsid w:val="00E62DAD"/>
    <w:rsid w:val="00E81CB2"/>
    <w:rsid w:val="00E869BE"/>
    <w:rsid w:val="00E91571"/>
    <w:rsid w:val="00E955F2"/>
    <w:rsid w:val="00EB3EEA"/>
    <w:rsid w:val="00EC1BFE"/>
    <w:rsid w:val="00ED0FF2"/>
    <w:rsid w:val="00ED3DBB"/>
    <w:rsid w:val="00ED4AED"/>
    <w:rsid w:val="00EE1161"/>
    <w:rsid w:val="00EF070D"/>
    <w:rsid w:val="00F23061"/>
    <w:rsid w:val="00F342AB"/>
    <w:rsid w:val="00F3713F"/>
    <w:rsid w:val="00F42FCB"/>
    <w:rsid w:val="00F45625"/>
    <w:rsid w:val="00F5210A"/>
    <w:rsid w:val="00F75C09"/>
    <w:rsid w:val="00F8166F"/>
    <w:rsid w:val="00F85FA9"/>
    <w:rsid w:val="00F91772"/>
    <w:rsid w:val="00FB18B1"/>
    <w:rsid w:val="00FC0CDC"/>
    <w:rsid w:val="00FC1E12"/>
    <w:rsid w:val="00FD2DB5"/>
    <w:rsid w:val="00FD7D6E"/>
    <w:rsid w:val="00FE1E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9FF43"/>
  <w15:chartTrackingRefBased/>
  <w15:docId w15:val="{1DC5A6E8-0C70-491F-BBBC-1D85ED6C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1D1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D13"/>
    <w:pPr>
      <w:spacing w:after="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8062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62B7"/>
  </w:style>
  <w:style w:type="paragraph" w:styleId="Footer">
    <w:name w:val="footer"/>
    <w:basedOn w:val="Normal"/>
    <w:link w:val="FooterChar"/>
    <w:uiPriority w:val="99"/>
    <w:unhideWhenUsed/>
    <w:rsid w:val="008062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62B7"/>
  </w:style>
  <w:style w:type="paragraph" w:styleId="BalloonText">
    <w:name w:val="Balloon Text"/>
    <w:basedOn w:val="Normal"/>
    <w:link w:val="BalloonTextChar"/>
    <w:uiPriority w:val="99"/>
    <w:semiHidden/>
    <w:unhideWhenUsed/>
    <w:rsid w:val="00A70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73A"/>
    <w:rPr>
      <w:rFonts w:ascii="Segoe UI" w:hAnsi="Segoe UI" w:cs="Segoe UI"/>
      <w:sz w:val="18"/>
      <w:szCs w:val="18"/>
    </w:rPr>
  </w:style>
  <w:style w:type="table" w:customStyle="1" w:styleId="Reetkatablice1">
    <w:name w:val="Rešetka tablice1"/>
    <w:basedOn w:val="TableNormal"/>
    <w:next w:val="TableGrid"/>
    <w:uiPriority w:val="39"/>
    <w:rsid w:val="00A8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4588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1343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13432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65E6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3-Accent2">
    <w:name w:val="Grid Table 3 Accent 2"/>
    <w:basedOn w:val="TableNormal"/>
    <w:uiPriority w:val="48"/>
    <w:rsid w:val="00665E6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
    <w:name w:val="Grid Table 3"/>
    <w:basedOn w:val="TableNormal"/>
    <w:uiPriority w:val="48"/>
    <w:rsid w:val="00665E6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3">
    <w:name w:val="Grid Table 1 Light Accent 3"/>
    <w:basedOn w:val="TableNormal"/>
    <w:uiPriority w:val="46"/>
    <w:rsid w:val="0076330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Odlomakpopisa2">
    <w:name w:val="Odlomak popisa2"/>
    <w:basedOn w:val="Normal"/>
    <w:qFormat/>
    <w:rsid w:val="009B6467"/>
    <w:pPr>
      <w:spacing w:after="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73481">
      <w:bodyDiv w:val="1"/>
      <w:marLeft w:val="0"/>
      <w:marRight w:val="0"/>
      <w:marTop w:val="0"/>
      <w:marBottom w:val="0"/>
      <w:divBdr>
        <w:top w:val="none" w:sz="0" w:space="0" w:color="auto"/>
        <w:left w:val="none" w:sz="0" w:space="0" w:color="auto"/>
        <w:bottom w:val="none" w:sz="0" w:space="0" w:color="auto"/>
        <w:right w:val="none" w:sz="0" w:space="0" w:color="auto"/>
      </w:divBdr>
    </w:div>
    <w:div w:id="13718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9BD0B-A4F9-084D-B6BE-B51AB77F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4557</Words>
  <Characters>25977</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Microsoft Office User</cp:lastModifiedBy>
  <cp:revision>2</cp:revision>
  <cp:lastPrinted>2023-06-27T15:33:00Z</cp:lastPrinted>
  <dcterms:created xsi:type="dcterms:W3CDTF">2025-10-11T09:38:00Z</dcterms:created>
  <dcterms:modified xsi:type="dcterms:W3CDTF">2025-10-11T09:38:00Z</dcterms:modified>
</cp:coreProperties>
</file>