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E77D8" w14:textId="44BD17D3" w:rsidR="00131D13" w:rsidRDefault="00131D13" w:rsidP="00131D13">
      <w:pPr>
        <w:spacing w:after="0" w:line="240" w:lineRule="auto"/>
        <w:rPr>
          <w:rFonts w:ascii="Times New Roman" w:eastAsia="Times New Roman" w:hAnsi="Times New Roman" w:cs="Times New Roman"/>
          <w:b/>
          <w:sz w:val="24"/>
          <w:szCs w:val="24"/>
        </w:rPr>
      </w:pPr>
    </w:p>
    <w:p w14:paraId="0328C3BD" w14:textId="77777777" w:rsidR="00131D13" w:rsidRDefault="00131D13" w:rsidP="00131D13">
      <w:pPr>
        <w:spacing w:after="0" w:line="240" w:lineRule="auto"/>
        <w:rPr>
          <w:rFonts w:ascii="Times New Roman" w:eastAsia="Times New Roman" w:hAnsi="Times New Roman" w:cs="Times New Roman"/>
          <w:b/>
          <w:sz w:val="24"/>
          <w:szCs w:val="24"/>
        </w:rPr>
      </w:pPr>
    </w:p>
    <w:p w14:paraId="4DE9DAF6"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MONTE GIRO d.o.o. Pula</w:t>
      </w:r>
    </w:p>
    <w:p w14:paraId="1F81FD24" w14:textId="77777777" w:rsidR="00131D13" w:rsidRPr="009C7409" w:rsidRDefault="00131D13" w:rsidP="00131D13">
      <w:pPr>
        <w:spacing w:after="0" w:line="240" w:lineRule="auto"/>
        <w:rPr>
          <w:rFonts w:ascii="Times New Roman" w:eastAsia="Times New Roman" w:hAnsi="Times New Roman" w:cs="Times New Roman"/>
          <w:b/>
          <w:sz w:val="24"/>
          <w:szCs w:val="24"/>
        </w:rPr>
      </w:pPr>
      <w:proofErr w:type="spellStart"/>
      <w:r w:rsidRPr="009C7409">
        <w:rPr>
          <w:rFonts w:ascii="Times New Roman" w:eastAsia="Times New Roman" w:hAnsi="Times New Roman" w:cs="Times New Roman"/>
          <w:b/>
          <w:sz w:val="24"/>
          <w:szCs w:val="24"/>
        </w:rPr>
        <w:t>Kumičićeva</w:t>
      </w:r>
      <w:proofErr w:type="spellEnd"/>
      <w:r w:rsidRPr="009C7409">
        <w:rPr>
          <w:rFonts w:ascii="Times New Roman" w:eastAsia="Times New Roman" w:hAnsi="Times New Roman" w:cs="Times New Roman"/>
          <w:b/>
          <w:sz w:val="24"/>
          <w:szCs w:val="24"/>
        </w:rPr>
        <w:t xml:space="preserve"> 22</w:t>
      </w:r>
    </w:p>
    <w:p w14:paraId="58D91C87"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52100 Pula</w:t>
      </w:r>
    </w:p>
    <w:p w14:paraId="1C2847B4"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MBS  040013925</w:t>
      </w:r>
    </w:p>
    <w:p w14:paraId="50538401" w14:textId="77777777" w:rsidR="00131D13" w:rsidRPr="009C7409" w:rsidRDefault="00131D13" w:rsidP="00131D13">
      <w:pPr>
        <w:spacing w:after="0" w:line="240" w:lineRule="auto"/>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OIB 68652112489</w:t>
      </w:r>
    </w:p>
    <w:p w14:paraId="2EFBFC5F" w14:textId="77777777" w:rsidR="00131D13" w:rsidRPr="009C7409" w:rsidRDefault="00131D13" w:rsidP="00131D13">
      <w:pPr>
        <w:spacing w:after="0" w:line="240" w:lineRule="auto"/>
        <w:jc w:val="center"/>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Bilješke uz financijske izvještaje</w:t>
      </w:r>
    </w:p>
    <w:p w14:paraId="140D9278" w14:textId="53BE117A" w:rsidR="00131D13" w:rsidRPr="009C7409" w:rsidRDefault="00131D13" w:rsidP="00131D13">
      <w:pPr>
        <w:spacing w:after="0" w:line="240" w:lineRule="auto"/>
        <w:jc w:val="center"/>
        <w:rPr>
          <w:rFonts w:ascii="Times New Roman" w:eastAsia="Times New Roman" w:hAnsi="Times New Roman" w:cs="Times New Roman"/>
          <w:b/>
          <w:sz w:val="24"/>
          <w:szCs w:val="24"/>
        </w:rPr>
      </w:pPr>
      <w:r w:rsidRPr="009C7409">
        <w:rPr>
          <w:rFonts w:ascii="Times New Roman" w:eastAsia="Times New Roman" w:hAnsi="Times New Roman" w:cs="Times New Roman"/>
          <w:b/>
          <w:sz w:val="24"/>
          <w:szCs w:val="24"/>
        </w:rPr>
        <w:t>za 20</w:t>
      </w:r>
      <w:r w:rsidR="001806A2">
        <w:rPr>
          <w:rFonts w:ascii="Times New Roman" w:eastAsia="Times New Roman" w:hAnsi="Times New Roman" w:cs="Times New Roman"/>
          <w:b/>
          <w:sz w:val="24"/>
          <w:szCs w:val="24"/>
        </w:rPr>
        <w:t>2</w:t>
      </w:r>
      <w:r w:rsidR="003D38A6">
        <w:rPr>
          <w:rFonts w:ascii="Times New Roman" w:eastAsia="Times New Roman" w:hAnsi="Times New Roman" w:cs="Times New Roman"/>
          <w:b/>
          <w:sz w:val="24"/>
          <w:szCs w:val="24"/>
        </w:rPr>
        <w:t>3</w:t>
      </w:r>
      <w:r w:rsidR="001806A2">
        <w:rPr>
          <w:rFonts w:ascii="Times New Roman" w:eastAsia="Times New Roman" w:hAnsi="Times New Roman" w:cs="Times New Roman"/>
          <w:b/>
          <w:sz w:val="24"/>
          <w:szCs w:val="24"/>
        </w:rPr>
        <w:t>.</w:t>
      </w:r>
      <w:r w:rsidRPr="009C7409">
        <w:rPr>
          <w:rFonts w:ascii="Times New Roman" w:eastAsia="Times New Roman" w:hAnsi="Times New Roman" w:cs="Times New Roman"/>
          <w:b/>
          <w:sz w:val="24"/>
          <w:szCs w:val="24"/>
        </w:rPr>
        <w:t xml:space="preserve"> godinu</w:t>
      </w:r>
    </w:p>
    <w:p w14:paraId="67B8C3C8" w14:textId="77777777" w:rsidR="00131D13" w:rsidRPr="009C7409" w:rsidRDefault="00131D13" w:rsidP="00131D13">
      <w:pPr>
        <w:spacing w:after="0" w:line="240" w:lineRule="auto"/>
        <w:jc w:val="center"/>
        <w:rPr>
          <w:rFonts w:ascii="Times New Roman" w:eastAsia="Times New Roman" w:hAnsi="Times New Roman" w:cs="Times New Roman"/>
          <w:b/>
          <w:sz w:val="24"/>
          <w:szCs w:val="24"/>
        </w:rPr>
      </w:pPr>
    </w:p>
    <w:p w14:paraId="363BC6B8" w14:textId="77777777" w:rsidR="00131D13" w:rsidRPr="00F22DFE" w:rsidRDefault="00131D13" w:rsidP="00131D13">
      <w:pPr>
        <w:spacing w:after="0" w:line="240" w:lineRule="auto"/>
        <w:rPr>
          <w:rFonts w:ascii="Times New Roman" w:eastAsia="Times New Roman" w:hAnsi="Times New Roman" w:cs="Times New Roman"/>
          <w:b/>
        </w:rPr>
      </w:pPr>
      <w:r w:rsidRPr="00F22DFE">
        <w:rPr>
          <w:rFonts w:ascii="Times New Roman" w:eastAsia="Times New Roman" w:hAnsi="Times New Roman" w:cs="Times New Roman"/>
          <w:b/>
        </w:rPr>
        <w:t>Općenito</w:t>
      </w:r>
    </w:p>
    <w:p w14:paraId="2E434C5F"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MONTE GIRO, društvo s ograničenom odgovornošću Pula upisano je u sudski registar Trgovačkog suda u Rijeci stalna služba Pazin. Jedini osnivač društva je Grad Pula.</w:t>
      </w:r>
    </w:p>
    <w:p w14:paraId="66D5B5F2" w14:textId="77777777" w:rsidR="00131D13" w:rsidRPr="00F22DFE" w:rsidRDefault="00131D13" w:rsidP="00131D13">
      <w:pPr>
        <w:keepNext/>
        <w:shd w:val="clear" w:color="auto" w:fill="F8F8F8"/>
        <w:spacing w:before="240" w:after="75" w:line="240" w:lineRule="auto"/>
        <w:outlineLvl w:val="1"/>
        <w:rPr>
          <w:rFonts w:ascii="Times New Roman" w:eastAsia="Times New Roman" w:hAnsi="Times New Roman" w:cs="Times New Roman"/>
          <w:bCs/>
          <w:iCs/>
          <w:lang w:eastAsia="hr-HR"/>
        </w:rPr>
      </w:pPr>
      <w:r w:rsidRPr="00F22DFE">
        <w:rPr>
          <w:rFonts w:ascii="Times New Roman" w:eastAsia="Times New Roman" w:hAnsi="Times New Roman" w:cs="Times New Roman"/>
          <w:bCs/>
          <w:iCs/>
          <w:lang w:eastAsia="hr-HR"/>
        </w:rPr>
        <w:t>Predmet poslovanja - pogrebne i srodne djelatnosti:</w:t>
      </w:r>
    </w:p>
    <w:p w14:paraId="2FB1F229"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upravljanje grobljima na području grada Pule</w:t>
      </w:r>
    </w:p>
    <w:p w14:paraId="58A3E24A"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održavanje groblja i krematorija, prostora i zgrada te drugih pratećih objekata za obavljanje ispraćaja i sahrane pokojnika, te ukop i kremiranje pokojnika</w:t>
      </w:r>
    </w:p>
    <w:p w14:paraId="222D1118"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obavljanje pogrebnih poslova - preuzimanje, opremanje i prijevoz pokojnika/umrle osobe od mjesta smrti do mrtvačnice ili krematorija</w:t>
      </w:r>
    </w:p>
    <w:p w14:paraId="35F581E3"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proizvodno-prerađivačke djelatnosti:</w:t>
      </w:r>
    </w:p>
    <w:p w14:paraId="2684B5D6"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izrada grobnica, nadgrobnih spomenika i ukrasnih predmeta, njihova montaža i demontaža, oblaganje grobnica kamenom i sl.</w:t>
      </w:r>
    </w:p>
    <w:p w14:paraId="4C409A73"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 xml:space="preserve">proizvodnja cvijeća i sadnica, izrada ukrasnih aranžmana od svježeg i umjetnog cvijeća, vijenaca, buketa i </w:t>
      </w:r>
      <w:proofErr w:type="spellStart"/>
      <w:r w:rsidRPr="00F22DFE">
        <w:rPr>
          <w:rFonts w:ascii="Times New Roman" w:eastAsia="Times New Roman" w:hAnsi="Times New Roman" w:cs="Times New Roman"/>
        </w:rPr>
        <w:t>sl</w:t>
      </w:r>
      <w:proofErr w:type="spellEnd"/>
    </w:p>
    <w:p w14:paraId="65720118"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izrada drvenih i metalnih kovčega za umrle osobe</w:t>
      </w:r>
    </w:p>
    <w:p w14:paraId="61A0F552"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 xml:space="preserve">trgovina na malo proizvodima namijenjenim preuzimanju, opremanju, prijevozu i ukopu umrlih osoba (vijenci i drugi cvjetni aranžmani, sanduci za pokojnike, odjeća, obuća, lončanice, svijeće, vaze i </w:t>
      </w:r>
      <w:proofErr w:type="spellStart"/>
      <w:r w:rsidRPr="00F22DFE">
        <w:rPr>
          <w:rFonts w:ascii="Times New Roman" w:eastAsia="Times New Roman" w:hAnsi="Times New Roman" w:cs="Times New Roman"/>
        </w:rPr>
        <w:t>sl</w:t>
      </w:r>
      <w:proofErr w:type="spellEnd"/>
    </w:p>
    <w:p w14:paraId="76F03170"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prijevoz putnika i tereta u unutarnjem i međunarodnom cestovnom prometu (prijevoz umrlih osoba i njihovih obitelji, opreme za ukop i sl.), i prijevoz za vlastite potrebe</w:t>
      </w:r>
    </w:p>
    <w:p w14:paraId="77A5900B" w14:textId="77777777" w:rsidR="00131D13" w:rsidRPr="00F22DFE" w:rsidRDefault="00131D13" w:rsidP="00131D13">
      <w:pPr>
        <w:numPr>
          <w:ilvl w:val="1"/>
          <w:numId w:val="1"/>
        </w:num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djelatnost skupljanja, prijevoza, posredovanja u organiziranju uporabe, zbrinjavanja, odnosno gospodarenje posebnim kategorijama otpada, uvoz i izvoz otpada.</w:t>
      </w:r>
    </w:p>
    <w:p w14:paraId="2593E7AA" w14:textId="7777777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Članovi Nadzornog odbora su:</w:t>
      </w:r>
    </w:p>
    <w:p w14:paraId="362B2D5D" w14:textId="77777777" w:rsidR="00131D13" w:rsidRPr="00F22DFE" w:rsidRDefault="00131D13" w:rsidP="00131D13">
      <w:pPr>
        <w:spacing w:after="0" w:line="240" w:lineRule="auto"/>
        <w:rPr>
          <w:rFonts w:ascii="Times New Roman" w:eastAsia="Times New Roman" w:hAnsi="Times New Roman" w:cs="Times New Roman"/>
        </w:rPr>
      </w:pPr>
    </w:p>
    <w:p w14:paraId="6F1863B9" w14:textId="58C36EA3" w:rsidR="00E5153C" w:rsidRDefault="00E5153C"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Antonela Diminić iz Pule, predsjednik </w:t>
      </w:r>
    </w:p>
    <w:p w14:paraId="373514DF" w14:textId="5C783D34" w:rsidR="00E5153C" w:rsidRPr="00F22DFE" w:rsidRDefault="00E5153C"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Ivo Jelenaca iz Pule, zamjenik predsjednika Nadzornog odbora </w:t>
      </w:r>
    </w:p>
    <w:p w14:paraId="7AEF5230" w14:textId="0EFC8D18" w:rsidR="00E81CB2" w:rsidRDefault="00E81CB2" w:rsidP="00131D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Martinčić Lorena iz Pule član Nadzornog odbora </w:t>
      </w:r>
    </w:p>
    <w:p w14:paraId="3B9BDEEC" w14:textId="012019EC" w:rsidR="00E81CB2" w:rsidRDefault="00E81CB2" w:rsidP="00E81CB2">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Osoba ovlaštena za zastupanje:</w:t>
      </w:r>
      <w:r>
        <w:rPr>
          <w:rFonts w:ascii="Times New Roman" w:eastAsia="Times New Roman" w:hAnsi="Times New Roman" w:cs="Times New Roman"/>
        </w:rPr>
        <w:t xml:space="preserve"> </w:t>
      </w:r>
      <w:r w:rsidRPr="00F22DFE">
        <w:rPr>
          <w:rFonts w:ascii="Times New Roman" w:eastAsia="Times New Roman" w:hAnsi="Times New Roman" w:cs="Times New Roman"/>
        </w:rPr>
        <w:t>Darko B</w:t>
      </w:r>
      <w:r>
        <w:rPr>
          <w:rFonts w:ascii="Times New Roman" w:eastAsia="Times New Roman" w:hAnsi="Times New Roman" w:cs="Times New Roman"/>
        </w:rPr>
        <w:t>ijelić</w:t>
      </w:r>
      <w:r w:rsidRPr="00F22DFE">
        <w:rPr>
          <w:rFonts w:ascii="Times New Roman" w:eastAsia="Times New Roman" w:hAnsi="Times New Roman" w:cs="Times New Roman"/>
        </w:rPr>
        <w:t>, direktor</w:t>
      </w:r>
      <w:r>
        <w:rPr>
          <w:rFonts w:ascii="Times New Roman" w:eastAsia="Times New Roman" w:hAnsi="Times New Roman" w:cs="Times New Roman"/>
        </w:rPr>
        <w:t xml:space="preserve"> </w:t>
      </w:r>
    </w:p>
    <w:p w14:paraId="63D348C7" w14:textId="77777777" w:rsidR="00E81CB2" w:rsidRPr="00F22DFE" w:rsidRDefault="00E81CB2" w:rsidP="00131D13">
      <w:pPr>
        <w:spacing w:after="0" w:line="240" w:lineRule="auto"/>
        <w:rPr>
          <w:rFonts w:ascii="Times New Roman" w:eastAsia="Times New Roman" w:hAnsi="Times New Roman" w:cs="Times New Roman"/>
        </w:rPr>
      </w:pPr>
    </w:p>
    <w:p w14:paraId="1E7B283F" w14:textId="77777777" w:rsidR="00131D13" w:rsidRPr="00F22DFE" w:rsidRDefault="00131D13" w:rsidP="00131D13">
      <w:pPr>
        <w:spacing w:after="0" w:line="240" w:lineRule="auto"/>
        <w:rPr>
          <w:rFonts w:ascii="Times New Roman" w:eastAsia="Times New Roman" w:hAnsi="Times New Roman" w:cs="Times New Roman"/>
        </w:rPr>
      </w:pPr>
    </w:p>
    <w:p w14:paraId="75C3B188" w14:textId="6405AEA1"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Tijekom razdoblja na temelju sati rada</w:t>
      </w:r>
      <w:r w:rsidR="0031581C">
        <w:rPr>
          <w:rFonts w:ascii="Times New Roman" w:eastAsia="Times New Roman" w:hAnsi="Times New Roman" w:cs="Times New Roman"/>
        </w:rPr>
        <w:t xml:space="preserve"> u </w:t>
      </w:r>
      <w:r w:rsidR="00E81CB2">
        <w:rPr>
          <w:rFonts w:ascii="Times New Roman" w:eastAsia="Times New Roman" w:hAnsi="Times New Roman" w:cs="Times New Roman"/>
        </w:rPr>
        <w:t>2</w:t>
      </w:r>
      <w:r w:rsidR="00CA42C6">
        <w:rPr>
          <w:rFonts w:ascii="Times New Roman" w:eastAsia="Times New Roman" w:hAnsi="Times New Roman" w:cs="Times New Roman"/>
        </w:rPr>
        <w:t>02</w:t>
      </w:r>
      <w:r w:rsidR="003D38A6">
        <w:rPr>
          <w:rFonts w:ascii="Times New Roman" w:eastAsia="Times New Roman" w:hAnsi="Times New Roman" w:cs="Times New Roman"/>
        </w:rPr>
        <w:t>3</w:t>
      </w:r>
      <w:r w:rsidR="00CA42C6">
        <w:rPr>
          <w:rFonts w:ascii="Times New Roman" w:eastAsia="Times New Roman" w:hAnsi="Times New Roman" w:cs="Times New Roman"/>
        </w:rPr>
        <w:t>.</w:t>
      </w:r>
      <w:r w:rsidR="0031581C">
        <w:rPr>
          <w:rFonts w:ascii="Times New Roman" w:eastAsia="Times New Roman" w:hAnsi="Times New Roman" w:cs="Times New Roman"/>
        </w:rPr>
        <w:t xml:space="preserve"> godini</w:t>
      </w:r>
      <w:r w:rsidRPr="00F22DFE">
        <w:rPr>
          <w:rFonts w:ascii="Times New Roman" w:eastAsia="Times New Roman" w:hAnsi="Times New Roman" w:cs="Times New Roman"/>
        </w:rPr>
        <w:t>, Društvo je prosječno zapošljavalo 3</w:t>
      </w:r>
      <w:r w:rsidR="00304251">
        <w:rPr>
          <w:rFonts w:ascii="Times New Roman" w:eastAsia="Times New Roman" w:hAnsi="Times New Roman" w:cs="Times New Roman"/>
        </w:rPr>
        <w:t>1</w:t>
      </w:r>
      <w:r w:rsidRPr="00F22DFE">
        <w:rPr>
          <w:rFonts w:ascii="Times New Roman" w:eastAsia="Times New Roman" w:hAnsi="Times New Roman" w:cs="Times New Roman"/>
        </w:rPr>
        <w:t xml:space="preserve"> radnika.</w:t>
      </w:r>
    </w:p>
    <w:p w14:paraId="6F7E9488" w14:textId="7E6A056D"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Društvo se temeljem pokazatelja na dan 31.12.20</w:t>
      </w:r>
      <w:r w:rsidR="0014648D">
        <w:rPr>
          <w:rFonts w:ascii="Times New Roman" w:eastAsia="Times New Roman" w:hAnsi="Times New Roman" w:cs="Times New Roman"/>
        </w:rPr>
        <w:t>2</w:t>
      </w:r>
      <w:r w:rsidR="003D38A6">
        <w:rPr>
          <w:rFonts w:ascii="Times New Roman" w:eastAsia="Times New Roman" w:hAnsi="Times New Roman" w:cs="Times New Roman"/>
        </w:rPr>
        <w:t>3</w:t>
      </w:r>
      <w:r w:rsidRPr="00F22DFE">
        <w:rPr>
          <w:rFonts w:ascii="Times New Roman" w:eastAsia="Times New Roman" w:hAnsi="Times New Roman" w:cs="Times New Roman"/>
        </w:rPr>
        <w:t>. razvrstalo kao mali poduzetnik.</w:t>
      </w:r>
    </w:p>
    <w:p w14:paraId="6615156C" w14:textId="77777777" w:rsidR="00131D13" w:rsidRPr="00F22DFE" w:rsidRDefault="00131D13" w:rsidP="00131D13">
      <w:pPr>
        <w:spacing w:after="0" w:line="240" w:lineRule="auto"/>
        <w:rPr>
          <w:rFonts w:ascii="Times New Roman" w:eastAsia="Times New Roman" w:hAnsi="Times New Roman" w:cs="Times New Roman"/>
        </w:rPr>
      </w:pPr>
    </w:p>
    <w:p w14:paraId="51E3BF5A" w14:textId="77777777" w:rsidR="00131D13" w:rsidRPr="00F22DFE" w:rsidRDefault="00131D13" w:rsidP="00131D13">
      <w:pPr>
        <w:spacing w:after="0" w:line="240" w:lineRule="auto"/>
        <w:rPr>
          <w:rFonts w:ascii="Times New Roman" w:eastAsia="Times New Roman" w:hAnsi="Times New Roman" w:cs="Times New Roman"/>
        </w:rPr>
      </w:pPr>
    </w:p>
    <w:p w14:paraId="2930C7D9" w14:textId="77777777" w:rsidR="00131D13" w:rsidRDefault="00131D13" w:rsidP="00131D13">
      <w:pPr>
        <w:spacing w:after="0" w:line="240" w:lineRule="auto"/>
        <w:rPr>
          <w:rFonts w:ascii="Times New Roman" w:eastAsia="Times New Roman" w:hAnsi="Times New Roman" w:cs="Times New Roman"/>
        </w:rPr>
      </w:pPr>
    </w:p>
    <w:p w14:paraId="18FBBB19" w14:textId="77777777" w:rsidR="004B1E30" w:rsidRDefault="004B1E30" w:rsidP="00131D13">
      <w:pPr>
        <w:spacing w:after="0" w:line="240" w:lineRule="auto"/>
        <w:rPr>
          <w:rFonts w:ascii="Times New Roman" w:eastAsia="Times New Roman" w:hAnsi="Times New Roman" w:cs="Times New Roman"/>
        </w:rPr>
      </w:pPr>
    </w:p>
    <w:p w14:paraId="0C455DF7" w14:textId="77777777" w:rsidR="004B1E30" w:rsidRPr="00F22DFE" w:rsidRDefault="004B1E30" w:rsidP="00131D13">
      <w:pPr>
        <w:spacing w:after="0" w:line="240" w:lineRule="auto"/>
        <w:rPr>
          <w:rFonts w:ascii="Times New Roman" w:eastAsia="Times New Roman" w:hAnsi="Times New Roman" w:cs="Times New Roman"/>
        </w:rPr>
      </w:pPr>
    </w:p>
    <w:p w14:paraId="4F6F95BD" w14:textId="77777777" w:rsidR="00131D13" w:rsidRPr="00F22DFE" w:rsidRDefault="00131D13" w:rsidP="00131D13">
      <w:pPr>
        <w:spacing w:after="0" w:line="240" w:lineRule="auto"/>
        <w:jc w:val="both"/>
        <w:rPr>
          <w:rFonts w:ascii="Times New Roman" w:eastAsia="Times New Roman" w:hAnsi="Times New Roman" w:cs="Times New Roman"/>
          <w:b/>
        </w:rPr>
      </w:pPr>
    </w:p>
    <w:p w14:paraId="5CFB6E3A" w14:textId="77777777" w:rsidR="00A81432" w:rsidRDefault="00A81432" w:rsidP="00131D13">
      <w:pPr>
        <w:spacing w:after="0" w:line="240" w:lineRule="auto"/>
        <w:jc w:val="both"/>
        <w:rPr>
          <w:rFonts w:ascii="Times New Roman" w:eastAsia="Times New Roman" w:hAnsi="Times New Roman" w:cs="Times New Roman"/>
          <w:b/>
        </w:rPr>
      </w:pPr>
    </w:p>
    <w:p w14:paraId="759C7B66"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lastRenderedPageBreak/>
        <w:t xml:space="preserve">Bilješka 1. </w:t>
      </w:r>
      <w:r w:rsidRPr="00F22DFE">
        <w:rPr>
          <w:rFonts w:ascii="Times New Roman" w:eastAsia="Times New Roman" w:hAnsi="Times New Roman" w:cs="Times New Roman"/>
          <w:b/>
        </w:rPr>
        <w:tab/>
        <w:t>Temelj za prezentiranje financijskih izvještaja</w:t>
      </w:r>
    </w:p>
    <w:p w14:paraId="0F3701B4" w14:textId="77777777" w:rsidR="00131D13" w:rsidRPr="00F22DFE" w:rsidRDefault="00131D13" w:rsidP="00131D13">
      <w:pPr>
        <w:spacing w:after="0" w:line="240" w:lineRule="auto"/>
        <w:ind w:left="360"/>
        <w:jc w:val="both"/>
        <w:rPr>
          <w:rFonts w:ascii="Times New Roman" w:eastAsia="Times New Roman" w:hAnsi="Times New Roman" w:cs="Times New Roman"/>
          <w:b/>
        </w:rPr>
      </w:pPr>
    </w:p>
    <w:p w14:paraId="4C48FD6E" w14:textId="77777777" w:rsidR="00131D13" w:rsidRPr="00F22DFE" w:rsidRDefault="00131D13" w:rsidP="00131D13">
      <w:pPr>
        <w:spacing w:after="0" w:line="240" w:lineRule="auto"/>
        <w:ind w:left="360"/>
        <w:jc w:val="both"/>
        <w:rPr>
          <w:rFonts w:ascii="Times New Roman" w:eastAsia="Times New Roman" w:hAnsi="Times New Roman" w:cs="Times New Roman"/>
          <w:b/>
        </w:rPr>
      </w:pPr>
      <w:r w:rsidRPr="00F22DFE">
        <w:rPr>
          <w:rFonts w:ascii="Times New Roman" w:eastAsia="Times New Roman" w:hAnsi="Times New Roman" w:cs="Times New Roman"/>
          <w:b/>
        </w:rPr>
        <w:t>1.1. Usklađenost sa standardima</w:t>
      </w:r>
    </w:p>
    <w:p w14:paraId="272F30CA" w14:textId="77777777" w:rsidR="00131D13" w:rsidRPr="00F22DFE" w:rsidRDefault="00131D13" w:rsidP="00131D13">
      <w:pPr>
        <w:spacing w:after="0" w:line="240" w:lineRule="auto"/>
        <w:ind w:left="360"/>
        <w:jc w:val="both"/>
        <w:rPr>
          <w:rFonts w:ascii="Times New Roman" w:eastAsia="Times New Roman" w:hAnsi="Times New Roman" w:cs="Times New Roman"/>
          <w:b/>
        </w:rPr>
      </w:pPr>
    </w:p>
    <w:p w14:paraId="586F8854" w14:textId="60DFF01C"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Temeljni financijski izvještaji sastavljeni su u skladu sa Hrvatskim standardima financijskog izvještavanja, koje je objavio Odbor za standarde financijskog izvješćivanja objavljenim u NN br. 86/15.,</w:t>
      </w:r>
      <w:r w:rsidR="003D38A6">
        <w:rPr>
          <w:rFonts w:ascii="Times New Roman" w:eastAsia="Times New Roman" w:hAnsi="Times New Roman" w:cs="Times New Roman"/>
        </w:rPr>
        <w:t xml:space="preserve"> 105/20</w:t>
      </w:r>
      <w:r w:rsidRPr="00F22DFE">
        <w:rPr>
          <w:rFonts w:ascii="Times New Roman" w:eastAsia="Times New Roman" w:hAnsi="Times New Roman" w:cs="Times New Roman"/>
        </w:rPr>
        <w:t xml:space="preserve"> </w:t>
      </w:r>
      <w:r w:rsidR="003D38A6">
        <w:rPr>
          <w:rFonts w:ascii="Times New Roman" w:eastAsia="Times New Roman" w:hAnsi="Times New Roman" w:cs="Times New Roman"/>
        </w:rPr>
        <w:t xml:space="preserve">i 19/21 </w:t>
      </w:r>
      <w:r w:rsidRPr="00F22DFE">
        <w:rPr>
          <w:rFonts w:ascii="Times New Roman" w:eastAsia="Times New Roman" w:hAnsi="Times New Roman" w:cs="Times New Roman"/>
        </w:rPr>
        <w:t>propisanim kao okvirom financijskog izvještavanja  temeljem odredbi Zakona o računovodstvu NN 78/15,</w:t>
      </w:r>
      <w:r w:rsidR="00ED1CAD">
        <w:rPr>
          <w:rFonts w:ascii="Times New Roman" w:eastAsia="Times New Roman" w:hAnsi="Times New Roman" w:cs="Times New Roman"/>
        </w:rPr>
        <w:t xml:space="preserve"> 134/15, 120/16, 116/18, 42/20, 47/20, 114/22 i 82/23,</w:t>
      </w:r>
      <w:r w:rsidRPr="00F22DFE">
        <w:rPr>
          <w:rFonts w:ascii="Times New Roman" w:eastAsia="Times New Roman" w:hAnsi="Times New Roman" w:cs="Times New Roman"/>
        </w:rPr>
        <w:t xml:space="preserve">  </w:t>
      </w:r>
      <w:r w:rsidR="002235D2" w:rsidRPr="00F22DFE">
        <w:rPr>
          <w:rFonts w:ascii="Times New Roman" w:eastAsia="Times New Roman" w:hAnsi="Times New Roman" w:cs="Times New Roman"/>
        </w:rPr>
        <w:t>Uredba 134/15</w:t>
      </w:r>
      <w:r w:rsidR="002235D2">
        <w:rPr>
          <w:rFonts w:ascii="Times New Roman" w:eastAsia="Times New Roman" w:hAnsi="Times New Roman" w:cs="Times New Roman"/>
        </w:rPr>
        <w:t xml:space="preserve">, 120/16 i </w:t>
      </w:r>
      <w:r w:rsidRPr="00F22DFE">
        <w:rPr>
          <w:rFonts w:ascii="Times New Roman" w:eastAsia="Times New Roman" w:hAnsi="Times New Roman" w:cs="Times New Roman"/>
        </w:rPr>
        <w:t>116/18</w:t>
      </w:r>
      <w:r w:rsidR="002235D2">
        <w:rPr>
          <w:rFonts w:ascii="Times New Roman" w:eastAsia="Times New Roman" w:hAnsi="Times New Roman" w:cs="Times New Roman"/>
        </w:rPr>
        <w:t>.</w:t>
      </w:r>
    </w:p>
    <w:p w14:paraId="49CDDB47"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Financijski izvještaji </w:t>
      </w:r>
      <w:r w:rsidR="006801E2">
        <w:rPr>
          <w:rFonts w:ascii="Times New Roman" w:eastAsia="Times New Roman" w:hAnsi="Times New Roman" w:cs="Times New Roman"/>
        </w:rPr>
        <w:t>sastavljeni su u skladu s temeljnim računovodstvenim načelima: neograničenosti vremena poslovanja, nastanka poslovnog događaja, značajnosti, dosljednosti, usporedivosti, opreznosti i bilančnog kontinuiteta</w:t>
      </w:r>
      <w:r w:rsidRPr="00F22DFE">
        <w:rPr>
          <w:rFonts w:ascii="Times New Roman" w:eastAsia="Times New Roman" w:hAnsi="Times New Roman" w:cs="Times New Roman"/>
        </w:rPr>
        <w:t xml:space="preserve">. Detaljna objašnjenja priznavanja pojedinačnih pozicija dana su u sklopu pojedinačne pozicije. </w:t>
      </w:r>
    </w:p>
    <w:p w14:paraId="796207AF" w14:textId="77777777" w:rsidR="00131D13" w:rsidRPr="00F22DFE" w:rsidRDefault="00131D13" w:rsidP="00131D13">
      <w:pPr>
        <w:spacing w:after="0" w:line="240" w:lineRule="auto"/>
        <w:jc w:val="both"/>
        <w:rPr>
          <w:rFonts w:ascii="Times New Roman" w:eastAsia="Times New Roman" w:hAnsi="Times New Roman" w:cs="Times New Roman"/>
          <w:b/>
        </w:rPr>
      </w:pPr>
    </w:p>
    <w:p w14:paraId="4C275F3B" w14:textId="6CE35447" w:rsidR="00131D13" w:rsidRPr="00F22DFE" w:rsidRDefault="00131D13" w:rsidP="00131D13">
      <w:pPr>
        <w:spacing w:after="0" w:line="240" w:lineRule="auto"/>
        <w:ind w:firstLine="426"/>
        <w:jc w:val="both"/>
        <w:rPr>
          <w:rFonts w:ascii="Times New Roman" w:eastAsia="Times New Roman" w:hAnsi="Times New Roman" w:cs="Times New Roman"/>
        </w:rPr>
      </w:pPr>
      <w:r w:rsidRPr="00F22DFE">
        <w:rPr>
          <w:rFonts w:ascii="Times New Roman" w:eastAsia="Times New Roman" w:hAnsi="Times New Roman" w:cs="Times New Roman"/>
          <w:b/>
        </w:rPr>
        <w:t>1.</w:t>
      </w:r>
      <w:r w:rsidR="00304251">
        <w:rPr>
          <w:rFonts w:ascii="Times New Roman" w:eastAsia="Times New Roman" w:hAnsi="Times New Roman" w:cs="Times New Roman"/>
          <w:b/>
        </w:rPr>
        <w:t>2</w:t>
      </w:r>
      <w:r w:rsidRPr="00F22DFE">
        <w:rPr>
          <w:rFonts w:ascii="Times New Roman" w:eastAsia="Times New Roman" w:hAnsi="Times New Roman" w:cs="Times New Roman"/>
          <w:b/>
        </w:rPr>
        <w:t xml:space="preserve">. Transakcije u inozemnim valutama </w:t>
      </w:r>
      <w:r w:rsidR="00304251">
        <w:rPr>
          <w:rFonts w:ascii="Times New Roman" w:eastAsia="Times New Roman" w:hAnsi="Times New Roman" w:cs="Times New Roman"/>
          <w:b/>
        </w:rPr>
        <w:t>– nisu članice EU</w:t>
      </w:r>
    </w:p>
    <w:p w14:paraId="1D7D39BF" w14:textId="77777777" w:rsidR="00131D13" w:rsidRPr="00F22DFE" w:rsidRDefault="00131D13" w:rsidP="00131D13">
      <w:pPr>
        <w:spacing w:after="0" w:line="240" w:lineRule="auto"/>
        <w:jc w:val="both"/>
        <w:rPr>
          <w:rFonts w:ascii="Times New Roman" w:eastAsia="Times New Roman" w:hAnsi="Times New Roman" w:cs="Times New Roman"/>
        </w:rPr>
      </w:pPr>
    </w:p>
    <w:p w14:paraId="681D09A9" w14:textId="37CFC9A0"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Sve transakcije u inozemnim valutama preračunate su u </w:t>
      </w:r>
      <w:r w:rsidR="00304251">
        <w:rPr>
          <w:rFonts w:ascii="Times New Roman" w:eastAsia="Times New Roman" w:hAnsi="Times New Roman" w:cs="Times New Roman"/>
        </w:rPr>
        <w:t>EUR</w:t>
      </w:r>
      <w:r w:rsidRPr="00F22DFE">
        <w:rPr>
          <w:rFonts w:ascii="Times New Roman" w:eastAsia="Times New Roman" w:hAnsi="Times New Roman" w:cs="Times New Roman"/>
        </w:rPr>
        <w:t xml:space="preserve"> po tečajnoj listi važećoj na dan transakcije. Aktiva i pasiva doznačene u inozemnim valutama su preračunate u kune po srednjem tečaju Hrvatske narodne banke važećim na dan Bilance. Dobici ili gubici po tečajnim razlikama priznaju se u računu dobiti i gubitka.</w:t>
      </w:r>
    </w:p>
    <w:p w14:paraId="3D0877DB" w14:textId="7777777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ab/>
      </w:r>
    </w:p>
    <w:p w14:paraId="08EACFC6" w14:textId="77777777" w:rsidR="00131D13" w:rsidRPr="00F22DFE" w:rsidRDefault="00131D13" w:rsidP="00131D13">
      <w:pPr>
        <w:spacing w:after="0" w:line="240" w:lineRule="auto"/>
        <w:ind w:left="426"/>
        <w:jc w:val="both"/>
        <w:rPr>
          <w:rFonts w:ascii="Times New Roman" w:eastAsia="Times New Roman" w:hAnsi="Times New Roman" w:cs="Times New Roman"/>
          <w:b/>
        </w:rPr>
      </w:pPr>
    </w:p>
    <w:p w14:paraId="33318FC9"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Bilješka 2. </w:t>
      </w:r>
      <w:r w:rsidRPr="00F22DFE">
        <w:rPr>
          <w:rFonts w:ascii="Times New Roman" w:eastAsia="Times New Roman" w:hAnsi="Times New Roman" w:cs="Times New Roman"/>
          <w:b/>
        </w:rPr>
        <w:tab/>
        <w:t>Sažetak osnovnih računovodstvenih politika</w:t>
      </w:r>
    </w:p>
    <w:p w14:paraId="0F65D5FC" w14:textId="77777777" w:rsidR="00131D13" w:rsidRPr="00F22DFE" w:rsidRDefault="00131D13" w:rsidP="00131D13">
      <w:pPr>
        <w:spacing w:after="0" w:line="240" w:lineRule="auto"/>
        <w:jc w:val="both"/>
        <w:rPr>
          <w:rFonts w:ascii="Times New Roman" w:eastAsia="Times New Roman" w:hAnsi="Times New Roman" w:cs="Times New Roman"/>
        </w:rPr>
      </w:pPr>
    </w:p>
    <w:p w14:paraId="50CECE5B" w14:textId="1F460F3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Temeljne računovodstvene politike primijenjene kod sastavljanja financijskih izvještaja za 20</w:t>
      </w:r>
      <w:r w:rsidR="00981512">
        <w:rPr>
          <w:rFonts w:ascii="Times New Roman" w:eastAsia="Times New Roman" w:hAnsi="Times New Roman" w:cs="Times New Roman"/>
        </w:rPr>
        <w:t>2</w:t>
      </w:r>
      <w:r w:rsidR="00304251">
        <w:rPr>
          <w:rFonts w:ascii="Times New Roman" w:eastAsia="Times New Roman" w:hAnsi="Times New Roman" w:cs="Times New Roman"/>
        </w:rPr>
        <w:t>3</w:t>
      </w:r>
      <w:r w:rsidRPr="00F22DFE">
        <w:rPr>
          <w:rFonts w:ascii="Times New Roman" w:eastAsia="Times New Roman" w:hAnsi="Times New Roman" w:cs="Times New Roman"/>
        </w:rPr>
        <w:t>. godinu bile su sljedeće:</w:t>
      </w:r>
    </w:p>
    <w:p w14:paraId="28CF6089" w14:textId="77777777" w:rsidR="00131D13" w:rsidRPr="00F22DFE" w:rsidRDefault="00131D13" w:rsidP="00131D13">
      <w:pPr>
        <w:spacing w:after="0" w:line="240" w:lineRule="auto"/>
        <w:rPr>
          <w:rFonts w:ascii="Times New Roman" w:eastAsia="Times New Roman" w:hAnsi="Times New Roman" w:cs="Times New Roman"/>
        </w:rPr>
      </w:pPr>
    </w:p>
    <w:p w14:paraId="36B73BB1"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 </w:t>
      </w:r>
      <w:r w:rsidRPr="00F22DFE">
        <w:rPr>
          <w:rFonts w:ascii="Times New Roman" w:eastAsia="Times New Roman" w:hAnsi="Times New Roman" w:cs="Times New Roman"/>
          <w:b/>
        </w:rPr>
        <w:tab/>
        <w:t xml:space="preserve">Poslovni prihodi </w:t>
      </w:r>
    </w:p>
    <w:p w14:paraId="2E79B990" w14:textId="77777777" w:rsidR="00131D13" w:rsidRPr="00F22DFE" w:rsidRDefault="00131D13" w:rsidP="00131D13">
      <w:pPr>
        <w:spacing w:after="0" w:line="240" w:lineRule="auto"/>
        <w:rPr>
          <w:rFonts w:ascii="Times New Roman" w:eastAsia="Times New Roman" w:hAnsi="Times New Roman" w:cs="Times New Roman"/>
        </w:rPr>
      </w:pPr>
    </w:p>
    <w:p w14:paraId="0ED08F00"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Prihodi od prodaje priznaju se u računu dobiti i gubitka kada su značajni rizici i koristi od vlasništva prešli na kupca. Porezi, diskonti i količinski popusti se isključuju iz prihoda.</w:t>
      </w:r>
    </w:p>
    <w:p w14:paraId="720AA3A0" w14:textId="77777777" w:rsidR="00131D13" w:rsidRPr="00F22DFE" w:rsidRDefault="00131D13" w:rsidP="00131D13">
      <w:pPr>
        <w:keepNext/>
        <w:spacing w:after="0" w:line="240" w:lineRule="auto"/>
        <w:ind w:left="360" w:hanging="360"/>
        <w:jc w:val="right"/>
        <w:outlineLvl w:val="1"/>
        <w:rPr>
          <w:rFonts w:ascii="Times New Roman" w:eastAsia="Times New Roman" w:hAnsi="Times New Roman" w:cs="Times New Roman"/>
          <w:bCs/>
        </w:rPr>
      </w:pPr>
    </w:p>
    <w:p w14:paraId="1D342CE9"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2.2. </w:t>
      </w:r>
      <w:r w:rsidRPr="00F22DFE">
        <w:rPr>
          <w:rFonts w:ascii="Times New Roman" w:eastAsia="Times New Roman" w:hAnsi="Times New Roman" w:cs="Times New Roman"/>
          <w:b/>
        </w:rPr>
        <w:tab/>
        <w:t xml:space="preserve">Troškovi prodane robe </w:t>
      </w:r>
    </w:p>
    <w:p w14:paraId="75AB9CD1" w14:textId="77777777" w:rsidR="00131D13" w:rsidRPr="00F22DFE" w:rsidRDefault="00131D13" w:rsidP="00131D13">
      <w:pPr>
        <w:spacing w:after="0" w:line="240" w:lineRule="auto"/>
        <w:rPr>
          <w:rFonts w:ascii="Times New Roman" w:eastAsia="Times New Roman" w:hAnsi="Times New Roman" w:cs="Times New Roman"/>
        </w:rPr>
      </w:pPr>
    </w:p>
    <w:p w14:paraId="53ABE447" w14:textId="77777777" w:rsidR="00131D13" w:rsidRPr="00F22DFE" w:rsidRDefault="00131D13" w:rsidP="00131D13">
      <w:pPr>
        <w:spacing w:after="120" w:line="240" w:lineRule="auto"/>
        <w:jc w:val="both"/>
        <w:rPr>
          <w:rFonts w:ascii="Times New Roman" w:eastAsia="Times New Roman" w:hAnsi="Times New Roman" w:cs="Times New Roman"/>
          <w:lang w:eastAsia="hr-HR"/>
        </w:rPr>
      </w:pPr>
      <w:r w:rsidRPr="00F22DFE">
        <w:rPr>
          <w:rFonts w:ascii="Times New Roman" w:eastAsia="Times New Roman" w:hAnsi="Times New Roman" w:cs="Times New Roman"/>
          <w:lang w:eastAsia="hr-HR"/>
        </w:rPr>
        <w:t xml:space="preserve">Troškove prodane robe čini kupovna cijena prema fakturi dobavljača umanjena za popuste, rabate (neto fakturna cijena) i to isključivo one koji su iskazani u fakturi dobavljača. Ostali troškovi kupnje (zavisni troškovi) jesu troškovi prijevoza, ukrcaja i istovara robe, carine i druge uvozne pristojbe i svi drugi troškovi koji se izravno mogu pripisati nabavci. </w:t>
      </w:r>
    </w:p>
    <w:p w14:paraId="0461566E" w14:textId="77777777" w:rsidR="00131D13" w:rsidRPr="00F22DFE" w:rsidRDefault="00131D13" w:rsidP="00131D13">
      <w:pPr>
        <w:spacing w:after="120" w:line="240" w:lineRule="auto"/>
        <w:jc w:val="both"/>
        <w:rPr>
          <w:rFonts w:ascii="Times New Roman" w:eastAsia="Times New Roman" w:hAnsi="Times New Roman" w:cs="Times New Roman"/>
          <w:lang w:eastAsia="hr-HR"/>
        </w:rPr>
      </w:pPr>
      <w:r w:rsidRPr="00F22DFE">
        <w:rPr>
          <w:rFonts w:ascii="Times New Roman" w:eastAsia="Times New Roman" w:hAnsi="Times New Roman" w:cs="Times New Roman"/>
          <w:lang w:eastAsia="hr-HR"/>
        </w:rPr>
        <w:t>Nabavna vrijednost prodane robe predstavlja troškove nabave robe u odnosu na fakturiranu realizaciju.</w:t>
      </w:r>
    </w:p>
    <w:p w14:paraId="253D7D40"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2.3. </w:t>
      </w:r>
      <w:r w:rsidRPr="00F22DFE">
        <w:rPr>
          <w:rFonts w:ascii="Times New Roman" w:eastAsia="Times New Roman" w:hAnsi="Times New Roman" w:cs="Times New Roman"/>
          <w:b/>
        </w:rPr>
        <w:tab/>
        <w:t xml:space="preserve">Troškovi razdoblja  </w:t>
      </w:r>
    </w:p>
    <w:p w14:paraId="42FAB812" w14:textId="77777777" w:rsidR="00131D13" w:rsidRPr="00F22DFE" w:rsidRDefault="00131D13" w:rsidP="00131D13">
      <w:pPr>
        <w:spacing w:after="0" w:line="240" w:lineRule="auto"/>
        <w:rPr>
          <w:rFonts w:ascii="Times New Roman" w:eastAsia="Times New Roman" w:hAnsi="Times New Roman" w:cs="Times New Roman"/>
        </w:rPr>
      </w:pPr>
    </w:p>
    <w:p w14:paraId="277470BE"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Troškovi razdoblja su rashodi obračunskog razdoblja koji se nadoknađuju iz prihoda razdoblja u kojem su nastali. </w:t>
      </w:r>
    </w:p>
    <w:p w14:paraId="3915F992" w14:textId="77777777" w:rsidR="00131D13" w:rsidRPr="00F22DFE" w:rsidRDefault="00131D13" w:rsidP="00131D13">
      <w:pPr>
        <w:spacing w:after="0" w:line="240" w:lineRule="auto"/>
        <w:jc w:val="both"/>
        <w:rPr>
          <w:rFonts w:ascii="Times New Roman" w:eastAsia="Times New Roman" w:hAnsi="Times New Roman" w:cs="Times New Roman"/>
        </w:rPr>
      </w:pPr>
    </w:p>
    <w:p w14:paraId="1C10CCAD"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2.4. </w:t>
      </w:r>
      <w:r w:rsidRPr="00F22DFE">
        <w:rPr>
          <w:rFonts w:ascii="Times New Roman" w:eastAsia="Times New Roman" w:hAnsi="Times New Roman" w:cs="Times New Roman"/>
          <w:b/>
        </w:rPr>
        <w:tab/>
        <w:t xml:space="preserve">Troškovi sirovina i materijala  </w:t>
      </w:r>
    </w:p>
    <w:p w14:paraId="4B88DA12" w14:textId="77777777" w:rsidR="00131D13" w:rsidRPr="00F22DFE" w:rsidRDefault="00131D13" w:rsidP="00131D13">
      <w:pPr>
        <w:spacing w:after="0" w:line="240" w:lineRule="auto"/>
        <w:rPr>
          <w:rFonts w:ascii="Times New Roman" w:eastAsia="Times New Roman" w:hAnsi="Times New Roman" w:cs="Times New Roman"/>
        </w:rPr>
      </w:pPr>
    </w:p>
    <w:p w14:paraId="5C22BA7B"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Obračun utroška sirovine i materijala, rezervnih dijelova izveden je primjenom prosječno  ponderirane NC. </w:t>
      </w:r>
    </w:p>
    <w:p w14:paraId="3B58E7A3" w14:textId="77777777" w:rsidR="00131D13" w:rsidRPr="00F22DFE" w:rsidRDefault="00131D13" w:rsidP="00131D13">
      <w:pPr>
        <w:spacing w:after="0" w:line="240" w:lineRule="auto"/>
        <w:jc w:val="both"/>
        <w:rPr>
          <w:rFonts w:ascii="Times New Roman" w:eastAsia="Times New Roman" w:hAnsi="Times New Roman" w:cs="Times New Roman"/>
          <w:u w:val="single"/>
        </w:rPr>
      </w:pPr>
    </w:p>
    <w:p w14:paraId="413B0A2F" w14:textId="4FD45FD2" w:rsidR="00304251" w:rsidRPr="0075481A" w:rsidRDefault="0075481A" w:rsidP="0075481A">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2</w:t>
      </w:r>
    </w:p>
    <w:p w14:paraId="11028CFC" w14:textId="77777777" w:rsidR="00304251" w:rsidRDefault="00304251" w:rsidP="00131D13">
      <w:pPr>
        <w:spacing w:after="0" w:line="240" w:lineRule="auto"/>
        <w:jc w:val="both"/>
        <w:rPr>
          <w:rFonts w:ascii="Times New Roman" w:eastAsia="Times New Roman" w:hAnsi="Times New Roman" w:cs="Times New Roman"/>
          <w:b/>
        </w:rPr>
      </w:pPr>
    </w:p>
    <w:p w14:paraId="5CBB21B8"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2.5. </w:t>
      </w:r>
      <w:r w:rsidRPr="00F22DFE">
        <w:rPr>
          <w:rFonts w:ascii="Times New Roman" w:eastAsia="Times New Roman" w:hAnsi="Times New Roman" w:cs="Times New Roman"/>
          <w:b/>
        </w:rPr>
        <w:tab/>
        <w:t>Financijski prihodi i rashodi</w:t>
      </w:r>
    </w:p>
    <w:p w14:paraId="120970F4" w14:textId="77777777" w:rsidR="00131D13" w:rsidRPr="00F22DFE" w:rsidRDefault="00131D13" w:rsidP="00131D13">
      <w:pPr>
        <w:spacing w:after="0" w:line="240" w:lineRule="auto"/>
        <w:jc w:val="both"/>
        <w:rPr>
          <w:rFonts w:ascii="Times New Roman" w:eastAsia="Times New Roman" w:hAnsi="Times New Roman" w:cs="Times New Roman"/>
          <w:b/>
        </w:rPr>
      </w:pPr>
    </w:p>
    <w:p w14:paraId="0F3F03B4"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Financijski prihod sastoji se od prihoda od kamata na investirana sredstva, dobiti od prodaje financijske imovine namijenjene prodaji te od dobitaka od tečajnih razlika.</w:t>
      </w:r>
    </w:p>
    <w:p w14:paraId="7F7DD9AB"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Financijski rashodi sastoji se od troška obračunatih kamata na kredite i zajmove, gubitaka od tečajnih razlika te od gubitaka od umanjenja i otuđenja financijske imovine.</w:t>
      </w:r>
    </w:p>
    <w:p w14:paraId="1A1467B0"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U računu dobiti i gubitka iskazuju se kao financijski prihodi/rashodi –neto.</w:t>
      </w:r>
    </w:p>
    <w:p w14:paraId="1BDA9A70" w14:textId="77777777" w:rsidR="00131D13" w:rsidRPr="00F22DFE" w:rsidRDefault="00131D13" w:rsidP="00131D13">
      <w:pPr>
        <w:spacing w:after="0" w:line="240" w:lineRule="auto"/>
        <w:jc w:val="both"/>
        <w:rPr>
          <w:rFonts w:ascii="Times New Roman" w:eastAsia="Times New Roman" w:hAnsi="Times New Roman" w:cs="Times New Roman"/>
          <w:iCs/>
        </w:rPr>
      </w:pPr>
    </w:p>
    <w:p w14:paraId="2C6389D0" w14:textId="77777777" w:rsidR="00131D13" w:rsidRPr="00F22DFE" w:rsidRDefault="00131D13" w:rsidP="00131D13">
      <w:pPr>
        <w:spacing w:after="0" w:line="240" w:lineRule="auto"/>
        <w:rPr>
          <w:rFonts w:ascii="Times New Roman" w:eastAsia="Times New Roman" w:hAnsi="Times New Roman" w:cs="Times New Roman"/>
          <w:b/>
        </w:rPr>
      </w:pPr>
      <w:r w:rsidRPr="00F22DFE">
        <w:rPr>
          <w:rFonts w:ascii="Times New Roman" w:eastAsia="Times New Roman" w:hAnsi="Times New Roman" w:cs="Times New Roman"/>
          <w:b/>
        </w:rPr>
        <w:t xml:space="preserve">2.6. </w:t>
      </w:r>
      <w:r w:rsidRPr="00F22DFE">
        <w:rPr>
          <w:rFonts w:ascii="Times New Roman" w:eastAsia="Times New Roman" w:hAnsi="Times New Roman" w:cs="Times New Roman"/>
          <w:b/>
        </w:rPr>
        <w:tab/>
        <w:t>Porez na dobit</w:t>
      </w:r>
    </w:p>
    <w:p w14:paraId="01AAC336" w14:textId="77777777" w:rsidR="00131D13" w:rsidRPr="00F22DFE" w:rsidRDefault="00131D13" w:rsidP="00131D13">
      <w:pPr>
        <w:spacing w:after="0" w:line="240" w:lineRule="auto"/>
        <w:jc w:val="both"/>
        <w:rPr>
          <w:rFonts w:ascii="Times New Roman" w:eastAsia="Times New Roman" w:hAnsi="Times New Roman" w:cs="Times New Roman"/>
        </w:rPr>
      </w:pPr>
    </w:p>
    <w:p w14:paraId="0F0FAF82"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Obračun poreza na dobit zasniva se na obračunu dobiti za tu godinu i usklađuje se za stalne i povremene razlike između oporezive i računovodstvene dobiti.</w:t>
      </w:r>
    </w:p>
    <w:p w14:paraId="67CCCD3E"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Obračun poreza na dobit vrši se u skladu s hrvatskim poreznim propisima. Odgođeni porezi obračunavaju se korištenjem metode obveza za sve privremene razlike na dan iskazivanja bilance zbog vremenskih razlika priznavanja prihoda i rashoda čije se uključivanje u oporezivu dobit ne poklapa s uključivanjem u poreznu dobit u okviru financijskih izvješća. Odgođeni porezi obračunavaju se po poreznoj stopi koja je primjenjiva u godinama u kojima se očekuje da će se privremene razlike nadoknaditi.</w:t>
      </w:r>
    </w:p>
    <w:p w14:paraId="36EAAB26"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Odgođeno porezno sredstvo priznaje se kad je vjerojatno da će se ostvariti dovoljno oporezive dobiti na teret koje se ono može iskoristiti. Tekući porez i odgođeni porez terete se ili odobravaju direktno u kapitalu ako se porez odnosi direktno na stavke koje su odobrene ili terećene, u istom ili različitom razdoblju, direktno na kapital.</w:t>
      </w:r>
    </w:p>
    <w:p w14:paraId="63B4B2A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Na dan bilance ponovno se procjenjuje nepriznata porezna sredstva te prikladnost sadašnje vrijednosti poreznih sredstava.</w:t>
      </w:r>
    </w:p>
    <w:p w14:paraId="2636DFC7" w14:textId="77777777" w:rsidR="00131D13" w:rsidRPr="00F22DFE" w:rsidRDefault="00131D13" w:rsidP="00131D13">
      <w:pPr>
        <w:spacing w:after="0" w:line="240" w:lineRule="auto"/>
        <w:jc w:val="both"/>
        <w:rPr>
          <w:rFonts w:ascii="Times New Roman" w:eastAsia="Times New Roman" w:hAnsi="Times New Roman" w:cs="Times New Roman"/>
          <w:b/>
          <w:bCs/>
        </w:rPr>
      </w:pPr>
    </w:p>
    <w:p w14:paraId="22339BBA" w14:textId="77777777" w:rsidR="00131D13" w:rsidRPr="00F22DFE" w:rsidRDefault="00131D13" w:rsidP="00131D13">
      <w:pPr>
        <w:spacing w:after="0" w:line="240" w:lineRule="auto"/>
        <w:jc w:val="both"/>
        <w:rPr>
          <w:rFonts w:ascii="Times New Roman" w:eastAsia="Times New Roman" w:hAnsi="Times New Roman" w:cs="Times New Roman"/>
          <w:b/>
          <w:bCs/>
        </w:rPr>
      </w:pPr>
      <w:r w:rsidRPr="00F22DFE">
        <w:rPr>
          <w:rFonts w:ascii="Times New Roman" w:eastAsia="Times New Roman" w:hAnsi="Times New Roman" w:cs="Times New Roman"/>
          <w:b/>
          <w:bCs/>
        </w:rPr>
        <w:t>2.7.</w:t>
      </w:r>
      <w:r w:rsidRPr="00F22DFE">
        <w:rPr>
          <w:rFonts w:ascii="Times New Roman" w:eastAsia="Times New Roman" w:hAnsi="Times New Roman" w:cs="Times New Roman"/>
          <w:b/>
          <w:bCs/>
        </w:rPr>
        <w:tab/>
        <w:t>Kapital</w:t>
      </w:r>
    </w:p>
    <w:p w14:paraId="30E9FE85" w14:textId="77777777" w:rsidR="00131D13" w:rsidRPr="00F22DFE" w:rsidRDefault="00131D13" w:rsidP="00131D13">
      <w:pPr>
        <w:spacing w:after="0" w:line="240" w:lineRule="auto"/>
        <w:jc w:val="both"/>
        <w:rPr>
          <w:rFonts w:ascii="Times New Roman" w:eastAsia="Times New Roman" w:hAnsi="Times New Roman" w:cs="Times New Roman"/>
          <w:b/>
          <w:bCs/>
        </w:rPr>
      </w:pPr>
    </w:p>
    <w:p w14:paraId="1BD606E4"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Upisani kapital iskazuje se u svoti koja je upisana u sudski registar prilikom osnivanja, odnosno promjene upisa vrijednosti kapitala u trgovačkom registru.</w:t>
      </w:r>
    </w:p>
    <w:p w14:paraId="7CD312BF" w14:textId="77777777" w:rsidR="00131D13" w:rsidRPr="00F22DFE" w:rsidRDefault="00131D13" w:rsidP="00131D13">
      <w:pPr>
        <w:spacing w:after="0" w:line="240" w:lineRule="auto"/>
        <w:jc w:val="both"/>
        <w:rPr>
          <w:rFonts w:ascii="Times New Roman" w:eastAsia="Times New Roman" w:hAnsi="Times New Roman" w:cs="Times New Roman"/>
        </w:rPr>
      </w:pPr>
    </w:p>
    <w:p w14:paraId="488312E3" w14:textId="77777777" w:rsidR="00131D13" w:rsidRPr="00F22DFE" w:rsidRDefault="00131D13" w:rsidP="00131D13">
      <w:pPr>
        <w:spacing w:after="0" w:line="240" w:lineRule="auto"/>
        <w:jc w:val="both"/>
        <w:rPr>
          <w:rFonts w:ascii="Times New Roman" w:eastAsia="Times New Roman" w:hAnsi="Times New Roman" w:cs="Times New Roman"/>
          <w:b/>
          <w:bCs/>
        </w:rPr>
      </w:pPr>
      <w:r w:rsidRPr="00F22DFE">
        <w:rPr>
          <w:rFonts w:ascii="Times New Roman" w:eastAsia="Times New Roman" w:hAnsi="Times New Roman" w:cs="Times New Roman"/>
          <w:b/>
          <w:bCs/>
        </w:rPr>
        <w:t>2.8.</w:t>
      </w:r>
      <w:r w:rsidRPr="00F22DFE">
        <w:rPr>
          <w:rFonts w:ascii="Times New Roman" w:eastAsia="Times New Roman" w:hAnsi="Times New Roman" w:cs="Times New Roman"/>
          <w:b/>
          <w:bCs/>
        </w:rPr>
        <w:tab/>
        <w:t>Rezerviranja</w:t>
      </w:r>
    </w:p>
    <w:p w14:paraId="67785EB6" w14:textId="77777777" w:rsidR="00131D13" w:rsidRPr="00F22DFE" w:rsidRDefault="00131D13" w:rsidP="00131D13">
      <w:pPr>
        <w:spacing w:after="0" w:line="240" w:lineRule="auto"/>
        <w:jc w:val="both"/>
        <w:rPr>
          <w:rFonts w:ascii="Times New Roman" w:eastAsia="Times New Roman" w:hAnsi="Times New Roman" w:cs="Times New Roman"/>
          <w:b/>
          <w:bCs/>
        </w:rPr>
      </w:pPr>
    </w:p>
    <w:p w14:paraId="0FD65A91"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Rezerviranja se priznaju ako društvo ima sadašnju zakonsku ili izvedenu obvezu kao posljedicu prošlog događaja, ako je vjerojatno da će biti potreban odljev resursa radi podmirivanja obveze te ako se iznos obveze može pouzdano procijeniti.</w:t>
      </w:r>
    </w:p>
    <w:p w14:paraId="2D5D161D" w14:textId="77777777" w:rsidR="00131D13" w:rsidRPr="00F22DFE" w:rsidRDefault="00131D13" w:rsidP="00131D13">
      <w:pPr>
        <w:spacing w:after="0" w:line="240" w:lineRule="auto"/>
        <w:jc w:val="right"/>
        <w:rPr>
          <w:rFonts w:ascii="Times New Roman" w:eastAsia="Times New Roman" w:hAnsi="Times New Roman" w:cs="Times New Roman"/>
          <w:bCs/>
        </w:rPr>
      </w:pPr>
    </w:p>
    <w:p w14:paraId="67261B2B" w14:textId="77777777" w:rsidR="00131D13" w:rsidRPr="00F22DFE" w:rsidRDefault="00131D13" w:rsidP="00131D13">
      <w:pPr>
        <w:spacing w:after="0" w:line="240" w:lineRule="auto"/>
        <w:jc w:val="both"/>
        <w:rPr>
          <w:rFonts w:ascii="Times New Roman" w:eastAsia="Times New Roman" w:hAnsi="Times New Roman" w:cs="Times New Roman"/>
          <w:b/>
        </w:rPr>
      </w:pPr>
      <w:r w:rsidRPr="00F22DFE">
        <w:rPr>
          <w:rFonts w:ascii="Times New Roman" w:eastAsia="Times New Roman" w:hAnsi="Times New Roman" w:cs="Times New Roman"/>
          <w:b/>
        </w:rPr>
        <w:t xml:space="preserve">2.9. </w:t>
      </w:r>
      <w:r w:rsidRPr="00F22DFE">
        <w:rPr>
          <w:rFonts w:ascii="Times New Roman" w:eastAsia="Times New Roman" w:hAnsi="Times New Roman" w:cs="Times New Roman"/>
          <w:b/>
        </w:rPr>
        <w:tab/>
        <w:t>Nematerijalna imovina</w:t>
      </w:r>
    </w:p>
    <w:p w14:paraId="3BED2926" w14:textId="77777777" w:rsidR="00131D13" w:rsidRPr="00F22DFE" w:rsidRDefault="00131D13" w:rsidP="00131D13">
      <w:pPr>
        <w:spacing w:after="0" w:line="240" w:lineRule="auto"/>
        <w:jc w:val="both"/>
        <w:rPr>
          <w:rFonts w:ascii="Times New Roman" w:eastAsia="Times New Roman" w:hAnsi="Times New Roman" w:cs="Times New Roman"/>
        </w:rPr>
      </w:pPr>
    </w:p>
    <w:p w14:paraId="14505932"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Nematerijalna imovina uključuje softver, </w:t>
      </w:r>
      <w:r w:rsidR="00BB29DA">
        <w:rPr>
          <w:rFonts w:ascii="Times New Roman" w:eastAsia="Times New Roman" w:hAnsi="Times New Roman" w:cs="Times New Roman"/>
        </w:rPr>
        <w:t>licence</w:t>
      </w:r>
      <w:r w:rsidRPr="00F22DFE">
        <w:rPr>
          <w:rFonts w:ascii="Times New Roman" w:eastAsia="Times New Roman" w:hAnsi="Times New Roman" w:cs="Times New Roman"/>
        </w:rPr>
        <w:t xml:space="preserve"> i ulaganja na tuđoj imovini i inicijalno se iskazuje po trošku nabave te naknadno po trošku nabave umanjenom za ispravak vrijednosti i umanjenje vrijednosti. Amortizacija je prikazana u računu dobiti i gubitka, te se izračunava linearnom metodom tijekom očekivanog vijeka uporabe. </w:t>
      </w:r>
    </w:p>
    <w:p w14:paraId="697A8417" w14:textId="77777777" w:rsidR="00131D13" w:rsidRPr="00F22DFE" w:rsidRDefault="00131D13" w:rsidP="00131D13">
      <w:pPr>
        <w:spacing w:after="0" w:line="240" w:lineRule="auto"/>
        <w:jc w:val="both"/>
        <w:rPr>
          <w:rFonts w:ascii="Times New Roman" w:eastAsia="Times New Roman" w:hAnsi="Times New Roman" w:cs="Times New Roman"/>
        </w:rPr>
      </w:pPr>
    </w:p>
    <w:p w14:paraId="50A1E902"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2.10. </w:t>
      </w:r>
      <w:r w:rsidRPr="00F22DFE">
        <w:rPr>
          <w:rFonts w:ascii="Times New Roman" w:eastAsia="Times New Roman" w:hAnsi="Times New Roman" w:cs="Times New Roman"/>
          <w:b/>
        </w:rPr>
        <w:tab/>
        <w:t xml:space="preserve">Nekretnine, postrojenja i oprema </w:t>
      </w:r>
    </w:p>
    <w:p w14:paraId="6E74DD79" w14:textId="77777777" w:rsidR="00131D13" w:rsidRPr="00F22DFE" w:rsidRDefault="00131D13" w:rsidP="00131D13">
      <w:pPr>
        <w:spacing w:after="0" w:line="240" w:lineRule="auto"/>
        <w:jc w:val="both"/>
        <w:rPr>
          <w:rFonts w:ascii="Times New Roman" w:eastAsia="Times New Roman" w:hAnsi="Times New Roman" w:cs="Times New Roman"/>
        </w:rPr>
      </w:pPr>
    </w:p>
    <w:p w14:paraId="14614C71"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Materijalna imovina, izuzev zemljišta, iskazuje se po trošku nabave umanjenom za akumuliranu amortizaciju i trajna umanjenja vrijednosti.</w:t>
      </w:r>
    </w:p>
    <w:p w14:paraId="34C07FA3" w14:textId="77777777" w:rsidR="00A81432" w:rsidRDefault="00A81432" w:rsidP="00131D13">
      <w:pPr>
        <w:spacing w:after="0" w:line="240" w:lineRule="auto"/>
        <w:jc w:val="both"/>
        <w:rPr>
          <w:rFonts w:ascii="Times New Roman" w:eastAsia="Times New Roman" w:hAnsi="Times New Roman" w:cs="Times New Roman"/>
        </w:rPr>
      </w:pPr>
    </w:p>
    <w:p w14:paraId="57ED5E84" w14:textId="484FC0AC" w:rsidR="00A81432" w:rsidRDefault="00A81432" w:rsidP="00A81432">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w:t>
      </w:r>
    </w:p>
    <w:p w14:paraId="73BE4AA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lastRenderedPageBreak/>
        <w:t>Naknadni izdaci uključuju se u knjigovodstvenu vrijednost imovine ili se, po potrebi, priznaju kao zasebna imovina samo ako će društvo imati buduće ekonomske koristi od spomenute imovine, te ako se trošak imovine može pouzdano mjeriti. Popravci i održavanja nekretnina, postrojenja i opreme priznaju se kao rashodi razdoblja u kojem su nastali.</w:t>
      </w:r>
    </w:p>
    <w:p w14:paraId="66433DC3"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 xml:space="preserve">Amortizacija se knjiži kao trošak razdoblja, a obračunava se linearnom metodom tijekom očekivanog korisnog vijeka trajanja imovine. </w:t>
      </w:r>
    </w:p>
    <w:p w14:paraId="2D4DAD16" w14:textId="0788E3F3" w:rsidR="00131D13" w:rsidRDefault="00DE35C7" w:rsidP="00131D1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w:t>
      </w:r>
      <w:r w:rsidR="00A841B9">
        <w:rPr>
          <w:rFonts w:ascii="Times New Roman" w:eastAsia="Times New Roman" w:hAnsi="Times New Roman" w:cs="Times New Roman"/>
        </w:rPr>
        <w:t>emeljem točke 6.49. HSFI-ja, a što je u skladu sa porezno priznatim amortizacijskim stopama sukladno čl. 12. Zakona o porezu na dobit (NN 143/14</w:t>
      </w:r>
      <w:r w:rsidR="00304251">
        <w:rPr>
          <w:rFonts w:ascii="Times New Roman" w:eastAsia="Times New Roman" w:hAnsi="Times New Roman" w:cs="Times New Roman"/>
        </w:rPr>
        <w:t>-114/23</w:t>
      </w:r>
      <w:r w:rsidR="00A841B9">
        <w:rPr>
          <w:rFonts w:ascii="Times New Roman" w:eastAsia="Times New Roman" w:hAnsi="Times New Roman" w:cs="Times New Roman"/>
        </w:rPr>
        <w:t xml:space="preserve">) </w:t>
      </w:r>
      <w:r w:rsidR="00131D13" w:rsidRPr="00F22DFE">
        <w:rPr>
          <w:rFonts w:ascii="Times New Roman" w:eastAsia="Times New Roman" w:hAnsi="Times New Roman" w:cs="Times New Roman"/>
        </w:rPr>
        <w:t>procijenjeni vijek uporabe imovine za 20</w:t>
      </w:r>
      <w:r w:rsidR="00A841B9">
        <w:rPr>
          <w:rFonts w:ascii="Times New Roman" w:eastAsia="Times New Roman" w:hAnsi="Times New Roman" w:cs="Times New Roman"/>
        </w:rPr>
        <w:t>2</w:t>
      </w:r>
      <w:r w:rsidR="00304251">
        <w:rPr>
          <w:rFonts w:ascii="Times New Roman" w:eastAsia="Times New Roman" w:hAnsi="Times New Roman" w:cs="Times New Roman"/>
        </w:rPr>
        <w:t>3</w:t>
      </w:r>
      <w:r w:rsidR="00131D13" w:rsidRPr="00F22DFE">
        <w:rPr>
          <w:rFonts w:ascii="Times New Roman" w:eastAsia="Times New Roman" w:hAnsi="Times New Roman" w:cs="Times New Roman"/>
        </w:rPr>
        <w:t>. godinu</w:t>
      </w:r>
      <w:r w:rsidR="00A841B9">
        <w:rPr>
          <w:rFonts w:ascii="Times New Roman" w:eastAsia="Times New Roman" w:hAnsi="Times New Roman" w:cs="Times New Roman"/>
        </w:rPr>
        <w:t xml:space="preserve"> je kako slijedi</w:t>
      </w:r>
      <w:r w:rsidR="00131D13" w:rsidRPr="00F22DFE">
        <w:rPr>
          <w:rFonts w:ascii="Times New Roman" w:eastAsia="Times New Roman" w:hAnsi="Times New Roman" w:cs="Times New Roman"/>
        </w:rPr>
        <w:t>:</w:t>
      </w:r>
    </w:p>
    <w:p w14:paraId="368CE2CA" w14:textId="77777777" w:rsidR="0013432E" w:rsidRDefault="0013432E" w:rsidP="00131D13">
      <w:pPr>
        <w:spacing w:after="0" w:line="240" w:lineRule="auto"/>
        <w:jc w:val="both"/>
        <w:rPr>
          <w:rFonts w:ascii="Times New Roman" w:eastAsia="Times New Roman" w:hAnsi="Times New Roman" w:cs="Times New Roman"/>
        </w:rPr>
      </w:pPr>
    </w:p>
    <w:p w14:paraId="17F5F5B1" w14:textId="77777777" w:rsidR="00131D13" w:rsidRPr="00F22DFE" w:rsidRDefault="00131D13" w:rsidP="00131D13">
      <w:pPr>
        <w:spacing w:after="0" w:line="240" w:lineRule="auto"/>
        <w:jc w:val="both"/>
        <w:rPr>
          <w:rFonts w:ascii="Times New Roman" w:eastAsia="Times New Roman" w:hAnsi="Times New Roman" w:cs="Times New Roman"/>
        </w:rPr>
      </w:pPr>
    </w:p>
    <w:tbl>
      <w:tblPr>
        <w:tblStyle w:val="Reetkatablice1"/>
        <w:tblW w:w="0" w:type="auto"/>
        <w:tblInd w:w="-5" w:type="dxa"/>
        <w:tblLook w:val="04A0" w:firstRow="1" w:lastRow="0" w:firstColumn="1" w:lastColumn="0" w:noHBand="0" w:noVBand="1"/>
      </w:tblPr>
      <w:tblGrid>
        <w:gridCol w:w="742"/>
        <w:gridCol w:w="1836"/>
        <w:gridCol w:w="1134"/>
        <w:gridCol w:w="1701"/>
      </w:tblGrid>
      <w:tr w:rsidR="006E2405" w:rsidRPr="00A841B9" w14:paraId="661EFBBA" w14:textId="77777777" w:rsidTr="006E2405">
        <w:tc>
          <w:tcPr>
            <w:tcW w:w="742" w:type="dxa"/>
          </w:tcPr>
          <w:p w14:paraId="51DF52D4" w14:textId="77777777" w:rsidR="006E2405" w:rsidRPr="00422B5C" w:rsidRDefault="006E2405" w:rsidP="00A841B9">
            <w:pPr>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Redni</w:t>
            </w:r>
          </w:p>
          <w:p w14:paraId="7F796C73" w14:textId="77777777" w:rsidR="006E2405" w:rsidRPr="00422B5C" w:rsidRDefault="006E2405" w:rsidP="00A841B9">
            <w:pPr>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 broj</w:t>
            </w:r>
          </w:p>
        </w:tc>
        <w:tc>
          <w:tcPr>
            <w:tcW w:w="1836" w:type="dxa"/>
          </w:tcPr>
          <w:p w14:paraId="70426505"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Naziv amortizacijske skupine</w:t>
            </w:r>
          </w:p>
        </w:tc>
        <w:tc>
          <w:tcPr>
            <w:tcW w:w="1134" w:type="dxa"/>
          </w:tcPr>
          <w:p w14:paraId="3E2A6ABA" w14:textId="77777777" w:rsidR="006E2405" w:rsidRPr="00422B5C" w:rsidRDefault="006E2405" w:rsidP="00A841B9">
            <w:pPr>
              <w:spacing w:before="100" w:before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Vijek trajanja godine (novo)</w:t>
            </w:r>
          </w:p>
        </w:tc>
        <w:tc>
          <w:tcPr>
            <w:tcW w:w="1701" w:type="dxa"/>
          </w:tcPr>
          <w:p w14:paraId="7C4D296C"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Godišnja amortizacijska skupina (novo)</w:t>
            </w:r>
          </w:p>
        </w:tc>
      </w:tr>
      <w:tr w:rsidR="006E2405" w:rsidRPr="00A841B9" w14:paraId="63CD2E55" w14:textId="77777777" w:rsidTr="006E2405">
        <w:tc>
          <w:tcPr>
            <w:tcW w:w="742" w:type="dxa"/>
          </w:tcPr>
          <w:p w14:paraId="4DABF9CB"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w:t>
            </w:r>
          </w:p>
        </w:tc>
        <w:tc>
          <w:tcPr>
            <w:tcW w:w="1836" w:type="dxa"/>
          </w:tcPr>
          <w:p w14:paraId="599AB7D0" w14:textId="77777777" w:rsidR="006E2405" w:rsidRPr="00422B5C" w:rsidRDefault="006E2405" w:rsidP="00A841B9">
            <w:pPr>
              <w:spacing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Građevinski objekti zgrade i dr.</w:t>
            </w:r>
          </w:p>
        </w:tc>
        <w:tc>
          <w:tcPr>
            <w:tcW w:w="1134" w:type="dxa"/>
          </w:tcPr>
          <w:p w14:paraId="1F8A82F4"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20 </w:t>
            </w:r>
          </w:p>
        </w:tc>
        <w:tc>
          <w:tcPr>
            <w:tcW w:w="1701" w:type="dxa"/>
          </w:tcPr>
          <w:p w14:paraId="1FCE7CB2"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5%</w:t>
            </w:r>
          </w:p>
        </w:tc>
      </w:tr>
      <w:tr w:rsidR="006E2405" w:rsidRPr="00A841B9" w14:paraId="5BAA442C" w14:textId="77777777" w:rsidTr="006E2405">
        <w:tc>
          <w:tcPr>
            <w:tcW w:w="742" w:type="dxa"/>
          </w:tcPr>
          <w:p w14:paraId="51775B2E"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w:t>
            </w:r>
          </w:p>
        </w:tc>
        <w:tc>
          <w:tcPr>
            <w:tcW w:w="1836" w:type="dxa"/>
          </w:tcPr>
          <w:p w14:paraId="6AF1C78E"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Transportna vozila</w:t>
            </w:r>
          </w:p>
        </w:tc>
        <w:tc>
          <w:tcPr>
            <w:tcW w:w="1134" w:type="dxa"/>
          </w:tcPr>
          <w:p w14:paraId="5881763D"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 4</w:t>
            </w:r>
          </w:p>
        </w:tc>
        <w:tc>
          <w:tcPr>
            <w:tcW w:w="1701" w:type="dxa"/>
          </w:tcPr>
          <w:p w14:paraId="79A1F279"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25%</w:t>
            </w:r>
          </w:p>
        </w:tc>
      </w:tr>
      <w:tr w:rsidR="006E2405" w:rsidRPr="00A841B9" w14:paraId="24C0A047" w14:textId="77777777" w:rsidTr="006E2405">
        <w:tc>
          <w:tcPr>
            <w:tcW w:w="742" w:type="dxa"/>
          </w:tcPr>
          <w:p w14:paraId="2E06212E"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3.</w:t>
            </w:r>
          </w:p>
        </w:tc>
        <w:tc>
          <w:tcPr>
            <w:tcW w:w="1836" w:type="dxa"/>
          </w:tcPr>
          <w:p w14:paraId="3C33A958"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Uredski namještaj i oprema</w:t>
            </w:r>
          </w:p>
        </w:tc>
        <w:tc>
          <w:tcPr>
            <w:tcW w:w="1134" w:type="dxa"/>
          </w:tcPr>
          <w:p w14:paraId="24F46153"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 4</w:t>
            </w:r>
          </w:p>
        </w:tc>
        <w:tc>
          <w:tcPr>
            <w:tcW w:w="1701" w:type="dxa"/>
          </w:tcPr>
          <w:p w14:paraId="4E466426"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25%</w:t>
            </w:r>
          </w:p>
        </w:tc>
      </w:tr>
      <w:tr w:rsidR="006E2405" w:rsidRPr="00A841B9" w14:paraId="6E3F1728" w14:textId="77777777" w:rsidTr="006E2405">
        <w:tc>
          <w:tcPr>
            <w:tcW w:w="742" w:type="dxa"/>
          </w:tcPr>
          <w:p w14:paraId="0CD1837C"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4.</w:t>
            </w:r>
          </w:p>
        </w:tc>
        <w:tc>
          <w:tcPr>
            <w:tcW w:w="1836" w:type="dxa"/>
          </w:tcPr>
          <w:p w14:paraId="5CADEEA8"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Računalna oprema, softveri, tel.</w:t>
            </w:r>
          </w:p>
        </w:tc>
        <w:tc>
          <w:tcPr>
            <w:tcW w:w="1134" w:type="dxa"/>
          </w:tcPr>
          <w:p w14:paraId="17A98F3B"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 2</w:t>
            </w:r>
          </w:p>
        </w:tc>
        <w:tc>
          <w:tcPr>
            <w:tcW w:w="1701" w:type="dxa"/>
          </w:tcPr>
          <w:p w14:paraId="5EE888FF"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50%</w:t>
            </w:r>
          </w:p>
        </w:tc>
      </w:tr>
      <w:tr w:rsidR="006E2405" w:rsidRPr="00A841B9" w14:paraId="3CF0D238" w14:textId="77777777" w:rsidTr="006E2405">
        <w:tc>
          <w:tcPr>
            <w:tcW w:w="742" w:type="dxa"/>
          </w:tcPr>
          <w:p w14:paraId="05685B89"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5.</w:t>
            </w:r>
          </w:p>
        </w:tc>
        <w:tc>
          <w:tcPr>
            <w:tcW w:w="1836" w:type="dxa"/>
          </w:tcPr>
          <w:p w14:paraId="0F8C4FF1"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Nematerijalna imovina (licence)</w:t>
            </w:r>
          </w:p>
        </w:tc>
        <w:tc>
          <w:tcPr>
            <w:tcW w:w="1134" w:type="dxa"/>
          </w:tcPr>
          <w:p w14:paraId="14E39ABC"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4</w:t>
            </w:r>
          </w:p>
        </w:tc>
        <w:tc>
          <w:tcPr>
            <w:tcW w:w="1701" w:type="dxa"/>
          </w:tcPr>
          <w:p w14:paraId="7AB3CB07"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25%</w:t>
            </w:r>
          </w:p>
        </w:tc>
      </w:tr>
      <w:tr w:rsidR="006E2405" w:rsidRPr="00A841B9" w14:paraId="3005FC7F" w14:textId="77777777" w:rsidTr="006E2405">
        <w:tc>
          <w:tcPr>
            <w:tcW w:w="742" w:type="dxa"/>
          </w:tcPr>
          <w:p w14:paraId="7DBD8422"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6.</w:t>
            </w:r>
          </w:p>
        </w:tc>
        <w:tc>
          <w:tcPr>
            <w:tcW w:w="1836" w:type="dxa"/>
          </w:tcPr>
          <w:p w14:paraId="6A830BBA"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Transportna vozila – osobni automobili</w:t>
            </w:r>
          </w:p>
        </w:tc>
        <w:tc>
          <w:tcPr>
            <w:tcW w:w="1134" w:type="dxa"/>
          </w:tcPr>
          <w:p w14:paraId="4065D6AE"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5</w:t>
            </w:r>
          </w:p>
        </w:tc>
        <w:tc>
          <w:tcPr>
            <w:tcW w:w="1701" w:type="dxa"/>
          </w:tcPr>
          <w:p w14:paraId="1DE9B192"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20%</w:t>
            </w:r>
          </w:p>
        </w:tc>
      </w:tr>
      <w:tr w:rsidR="006E2405" w:rsidRPr="00A841B9" w14:paraId="245D1D39" w14:textId="77777777" w:rsidTr="006E2405">
        <w:tc>
          <w:tcPr>
            <w:tcW w:w="742" w:type="dxa"/>
          </w:tcPr>
          <w:p w14:paraId="70B46069"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7.</w:t>
            </w:r>
          </w:p>
        </w:tc>
        <w:tc>
          <w:tcPr>
            <w:tcW w:w="1836" w:type="dxa"/>
          </w:tcPr>
          <w:p w14:paraId="52E398E6"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 xml:space="preserve">Ulaganja u tuđu imovinu </w:t>
            </w:r>
          </w:p>
        </w:tc>
        <w:tc>
          <w:tcPr>
            <w:tcW w:w="1134" w:type="dxa"/>
          </w:tcPr>
          <w:p w14:paraId="006D9A08"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10</w:t>
            </w:r>
          </w:p>
        </w:tc>
        <w:tc>
          <w:tcPr>
            <w:tcW w:w="1701" w:type="dxa"/>
          </w:tcPr>
          <w:p w14:paraId="07BADCA8"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10%</w:t>
            </w:r>
          </w:p>
        </w:tc>
      </w:tr>
      <w:tr w:rsidR="006E2405" w:rsidRPr="00A841B9" w14:paraId="7F880C6C" w14:textId="77777777" w:rsidTr="006E2405">
        <w:tc>
          <w:tcPr>
            <w:tcW w:w="742" w:type="dxa"/>
          </w:tcPr>
          <w:p w14:paraId="2336D6FF"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8.</w:t>
            </w:r>
          </w:p>
        </w:tc>
        <w:tc>
          <w:tcPr>
            <w:tcW w:w="1836" w:type="dxa"/>
          </w:tcPr>
          <w:p w14:paraId="09E2AC76" w14:textId="77777777" w:rsidR="006E2405" w:rsidRPr="00422B5C" w:rsidRDefault="006E2405" w:rsidP="00A841B9">
            <w:pPr>
              <w:spacing w:before="100" w:beforeAutospacing="1" w:after="100" w:afterAutospacing="1"/>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Ostala imovina</w:t>
            </w:r>
          </w:p>
        </w:tc>
        <w:tc>
          <w:tcPr>
            <w:tcW w:w="1134" w:type="dxa"/>
          </w:tcPr>
          <w:p w14:paraId="57FEEAB4"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10</w:t>
            </w:r>
          </w:p>
        </w:tc>
        <w:tc>
          <w:tcPr>
            <w:tcW w:w="1701" w:type="dxa"/>
          </w:tcPr>
          <w:p w14:paraId="697EF24D" w14:textId="77777777" w:rsidR="006E2405" w:rsidRPr="00422B5C" w:rsidRDefault="006E2405" w:rsidP="00A841B9">
            <w:pPr>
              <w:spacing w:before="100" w:beforeAutospacing="1" w:after="100" w:afterAutospacing="1" w:line="480" w:lineRule="auto"/>
              <w:rPr>
                <w:rFonts w:ascii="Times New Roman" w:eastAsia="Times New Roman" w:hAnsi="Times New Roman" w:cs="Times New Roman"/>
                <w:lang w:eastAsia="hr-HR"/>
              </w:rPr>
            </w:pPr>
            <w:r w:rsidRPr="00422B5C">
              <w:rPr>
                <w:rFonts w:ascii="Times New Roman" w:eastAsia="Times New Roman" w:hAnsi="Times New Roman" w:cs="Times New Roman"/>
                <w:lang w:eastAsia="hr-HR"/>
              </w:rPr>
              <w:t>10%</w:t>
            </w:r>
          </w:p>
        </w:tc>
      </w:tr>
    </w:tbl>
    <w:p w14:paraId="21518C0A" w14:textId="77777777" w:rsidR="00A841B9" w:rsidRDefault="00A841B9" w:rsidP="00131D13">
      <w:pPr>
        <w:spacing w:after="0" w:line="240" w:lineRule="auto"/>
        <w:rPr>
          <w:rFonts w:ascii="Times New Roman" w:eastAsia="Times New Roman" w:hAnsi="Times New Roman" w:cs="Times New Roman"/>
        </w:rPr>
      </w:pPr>
    </w:p>
    <w:p w14:paraId="50761866" w14:textId="77777777" w:rsidR="00131D13" w:rsidRPr="00F22DFE"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Stavke nekretnina, postrojenja i opreme koje su rashodovane ili prodane isključene su iz bilance zajedno s pripadajućom akumuliranom amortizacijom. Bilo koji dobitak ili gubitak nastao pri prestanku priznavanja imovine se iskazuje u računu dobitka i gubitka u godini prestanka priznavanja.</w:t>
      </w:r>
    </w:p>
    <w:p w14:paraId="5D92E6CE" w14:textId="017EA8FA" w:rsidR="00131D13" w:rsidRDefault="00131D13" w:rsidP="00131D13">
      <w:pPr>
        <w:spacing w:after="0" w:line="240" w:lineRule="auto"/>
        <w:rPr>
          <w:rFonts w:ascii="Times New Roman" w:eastAsia="Times New Roman" w:hAnsi="Times New Roman" w:cs="Times New Roman"/>
        </w:rPr>
      </w:pPr>
      <w:r w:rsidRPr="00F22DFE">
        <w:rPr>
          <w:rFonts w:ascii="Times New Roman" w:eastAsia="Times New Roman" w:hAnsi="Times New Roman" w:cs="Times New Roman"/>
        </w:rPr>
        <w:t xml:space="preserve">Stvari i oprema evidentiraju se kao materijalna imovina sukladno zakonskim propisima ukoliko im je vijek uporabe duži od jedne godine, a pojedinačna nabavna cijena veća od  </w:t>
      </w:r>
      <w:r w:rsidR="00304251">
        <w:rPr>
          <w:rFonts w:ascii="Times New Roman" w:eastAsia="Times New Roman" w:hAnsi="Times New Roman" w:cs="Times New Roman"/>
        </w:rPr>
        <w:t>464,53 EUR</w:t>
      </w:r>
      <w:r w:rsidRPr="00F22DFE">
        <w:rPr>
          <w:rFonts w:ascii="Times New Roman" w:eastAsia="Times New Roman" w:hAnsi="Times New Roman" w:cs="Times New Roman"/>
        </w:rPr>
        <w:t xml:space="preserve">. </w:t>
      </w:r>
    </w:p>
    <w:p w14:paraId="57A15B83" w14:textId="77777777" w:rsidR="00F5210A" w:rsidRDefault="00F5210A" w:rsidP="00131D13">
      <w:pPr>
        <w:spacing w:after="0" w:line="240" w:lineRule="auto"/>
        <w:rPr>
          <w:rFonts w:ascii="Times New Roman" w:eastAsia="Times New Roman" w:hAnsi="Times New Roman" w:cs="Times New Roman"/>
        </w:rPr>
      </w:pPr>
    </w:p>
    <w:p w14:paraId="18333A51"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2.11. </w:t>
      </w:r>
      <w:r w:rsidRPr="00F22DFE">
        <w:rPr>
          <w:rFonts w:ascii="Times New Roman" w:eastAsia="Times New Roman" w:hAnsi="Times New Roman" w:cs="Times New Roman"/>
          <w:b/>
        </w:rPr>
        <w:tab/>
        <w:t>Zalihe</w:t>
      </w:r>
    </w:p>
    <w:p w14:paraId="0050EA55" w14:textId="77777777" w:rsidR="00131D13" w:rsidRPr="000E4286" w:rsidRDefault="00131D13" w:rsidP="00131D13">
      <w:pPr>
        <w:spacing w:after="0" w:line="240" w:lineRule="auto"/>
        <w:jc w:val="both"/>
        <w:rPr>
          <w:rFonts w:ascii="Times New Roman" w:eastAsia="Times New Roman" w:hAnsi="Times New Roman" w:cs="Times New Roman"/>
        </w:rPr>
      </w:pPr>
    </w:p>
    <w:p w14:paraId="3B3A60A2"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Zalihe materijala i sitnog inventara iskazuju se u iznosima troškova nabave koji su potrebni za njihovo dovođenje na sadašnju lokaciju i u sadašnje stanje. Zalihe sitnog inventara i auto guma se otpisuju u 100%-</w:t>
      </w:r>
      <w:proofErr w:type="spellStart"/>
      <w:r w:rsidRPr="00F22DFE">
        <w:rPr>
          <w:rFonts w:ascii="Times New Roman" w:eastAsia="Times New Roman" w:hAnsi="Times New Roman" w:cs="Times New Roman"/>
        </w:rPr>
        <w:t>tnom</w:t>
      </w:r>
      <w:proofErr w:type="spellEnd"/>
      <w:r w:rsidRPr="00F22DFE">
        <w:rPr>
          <w:rFonts w:ascii="Times New Roman" w:eastAsia="Times New Roman" w:hAnsi="Times New Roman" w:cs="Times New Roman"/>
        </w:rPr>
        <w:t xml:space="preserve"> iznosu prilikom prijenosa u uporabu.</w:t>
      </w:r>
    </w:p>
    <w:p w14:paraId="1E4CFEA6" w14:textId="77777777" w:rsidR="00A81432" w:rsidRDefault="00A81432" w:rsidP="00131D13">
      <w:pPr>
        <w:spacing w:after="0" w:line="240" w:lineRule="auto"/>
        <w:ind w:hanging="11"/>
        <w:jc w:val="both"/>
        <w:rPr>
          <w:rFonts w:ascii="Times New Roman" w:eastAsia="Times New Roman" w:hAnsi="Times New Roman" w:cs="Times New Roman"/>
        </w:rPr>
      </w:pPr>
    </w:p>
    <w:p w14:paraId="0AD1F74E" w14:textId="77777777" w:rsidR="00A81432" w:rsidRDefault="00A81432" w:rsidP="00131D13">
      <w:pPr>
        <w:spacing w:after="0" w:line="240" w:lineRule="auto"/>
        <w:ind w:hanging="11"/>
        <w:jc w:val="both"/>
        <w:rPr>
          <w:rFonts w:ascii="Times New Roman" w:eastAsia="Times New Roman" w:hAnsi="Times New Roman" w:cs="Times New Roman"/>
        </w:rPr>
      </w:pPr>
    </w:p>
    <w:p w14:paraId="34092C60" w14:textId="71B62C65" w:rsidR="00A81432" w:rsidRDefault="00A81432" w:rsidP="00A81432">
      <w:pPr>
        <w:spacing w:after="0" w:line="240" w:lineRule="auto"/>
        <w:ind w:hanging="11"/>
        <w:jc w:val="right"/>
        <w:rPr>
          <w:rFonts w:ascii="Times New Roman" w:eastAsia="Times New Roman" w:hAnsi="Times New Roman" w:cs="Times New Roman"/>
        </w:rPr>
      </w:pPr>
      <w:r>
        <w:rPr>
          <w:rFonts w:ascii="Times New Roman" w:eastAsia="Times New Roman" w:hAnsi="Times New Roman" w:cs="Times New Roman"/>
        </w:rPr>
        <w:t>4</w:t>
      </w:r>
    </w:p>
    <w:p w14:paraId="5EF82BD3" w14:textId="77777777" w:rsidR="00A81432" w:rsidRDefault="00A81432" w:rsidP="00131D13">
      <w:pPr>
        <w:spacing w:after="0" w:line="240" w:lineRule="auto"/>
        <w:ind w:hanging="11"/>
        <w:jc w:val="both"/>
        <w:rPr>
          <w:rFonts w:ascii="Times New Roman" w:eastAsia="Times New Roman" w:hAnsi="Times New Roman" w:cs="Times New Roman"/>
        </w:rPr>
      </w:pPr>
    </w:p>
    <w:p w14:paraId="499A0D51" w14:textId="77777777" w:rsidR="00131D13" w:rsidRPr="00F22DFE" w:rsidRDefault="00131D13" w:rsidP="00131D13">
      <w:pPr>
        <w:spacing w:after="0" w:line="240" w:lineRule="auto"/>
        <w:ind w:hanging="11"/>
        <w:jc w:val="both"/>
        <w:rPr>
          <w:rFonts w:ascii="Times New Roman" w:eastAsia="Times New Roman" w:hAnsi="Times New Roman" w:cs="Times New Roman"/>
        </w:rPr>
      </w:pPr>
      <w:r w:rsidRPr="00F22DFE">
        <w:rPr>
          <w:rFonts w:ascii="Times New Roman" w:eastAsia="Times New Roman" w:hAnsi="Times New Roman" w:cs="Times New Roman"/>
        </w:rPr>
        <w:t>Zalihe trgovačke robe iskazuju se po trošku nabave kojeg čini kupovna cijena prema fakturi dobavljača umanjena za iskazane popuste i ostale troškove kupnje koji se izravno mogu pripisati nabavci, kao što su troškovi prijevoza, ukrcaja i istovara robe, carine i druge uvozne pristojbe.</w:t>
      </w:r>
    </w:p>
    <w:p w14:paraId="35FDC088" w14:textId="77777777" w:rsidR="00131D13" w:rsidRDefault="00131D13" w:rsidP="00131D13">
      <w:pPr>
        <w:spacing w:after="0" w:line="240" w:lineRule="auto"/>
        <w:ind w:hanging="11"/>
        <w:jc w:val="both"/>
        <w:rPr>
          <w:rFonts w:ascii="Times New Roman" w:eastAsia="Times New Roman" w:hAnsi="Times New Roman" w:cs="Times New Roman"/>
        </w:rPr>
      </w:pPr>
      <w:r w:rsidRPr="00F22DFE">
        <w:rPr>
          <w:rFonts w:ascii="Times New Roman" w:eastAsia="Times New Roman" w:hAnsi="Times New Roman" w:cs="Times New Roman"/>
        </w:rPr>
        <w:t>Roba u maloprodaji iskazuje se u bruto bilančnim vrijednostima prema kalkulativnoj prodajnoj cijeni, tako da se istodobno osiguravaju podaci o razlici u cijeni (ukalkuliranoj marži) i porezu na dodanu vrijednost.</w:t>
      </w:r>
    </w:p>
    <w:p w14:paraId="5E038749" w14:textId="77777777" w:rsidR="00131D13" w:rsidRPr="00F22DFE" w:rsidRDefault="00131D13" w:rsidP="00131D13">
      <w:pPr>
        <w:spacing w:after="0" w:line="240" w:lineRule="auto"/>
        <w:jc w:val="both"/>
        <w:rPr>
          <w:rFonts w:ascii="Times New Roman" w:eastAsia="Times New Roman" w:hAnsi="Times New Roman" w:cs="Times New Roman"/>
        </w:rPr>
      </w:pPr>
      <w:r w:rsidRPr="00F22DFE">
        <w:rPr>
          <w:rFonts w:ascii="Times New Roman" w:eastAsia="Times New Roman" w:hAnsi="Times New Roman" w:cs="Times New Roman"/>
        </w:rPr>
        <w:t>Usklađivanje vrijednosti zaliha vrši se krajem godine prilikom popisa ako dolazi do oštećenja, djelomičnog ili potpunog zastarijevanja i sličnih okolnosti.</w:t>
      </w:r>
    </w:p>
    <w:p w14:paraId="4869D6B5" w14:textId="45EE0C88" w:rsidR="00131D13" w:rsidRDefault="00131D13" w:rsidP="003C5F17">
      <w:pPr>
        <w:spacing w:after="0" w:line="240" w:lineRule="auto"/>
        <w:jc w:val="both"/>
        <w:rPr>
          <w:rFonts w:ascii="Times New Roman" w:eastAsia="Times New Roman" w:hAnsi="Times New Roman" w:cs="Times New Roman"/>
        </w:rPr>
      </w:pPr>
    </w:p>
    <w:p w14:paraId="1F5EB9C5" w14:textId="77777777" w:rsidR="00131D13" w:rsidRPr="00F22DFE" w:rsidRDefault="00131D13" w:rsidP="00131D13">
      <w:pPr>
        <w:keepNext/>
        <w:spacing w:after="0" w:line="240" w:lineRule="auto"/>
        <w:ind w:left="360" w:hanging="360"/>
        <w:outlineLvl w:val="1"/>
        <w:rPr>
          <w:rFonts w:ascii="Times New Roman" w:eastAsia="Times New Roman" w:hAnsi="Times New Roman" w:cs="Times New Roman"/>
          <w:b/>
        </w:rPr>
      </w:pPr>
      <w:r w:rsidRPr="00F22DFE">
        <w:rPr>
          <w:rFonts w:ascii="Times New Roman" w:eastAsia="Times New Roman" w:hAnsi="Times New Roman" w:cs="Times New Roman"/>
          <w:b/>
        </w:rPr>
        <w:t xml:space="preserve">2.12. </w:t>
      </w:r>
      <w:r w:rsidRPr="00F22DFE">
        <w:rPr>
          <w:rFonts w:ascii="Times New Roman" w:eastAsia="Times New Roman" w:hAnsi="Times New Roman" w:cs="Times New Roman"/>
          <w:b/>
        </w:rPr>
        <w:tab/>
        <w:t>Potraživanja temeljem prodaje</w:t>
      </w:r>
    </w:p>
    <w:p w14:paraId="10097025" w14:textId="77777777" w:rsidR="00131D13" w:rsidRPr="00F22DFE" w:rsidRDefault="00131D13" w:rsidP="00131D13">
      <w:pPr>
        <w:spacing w:after="0" w:line="240" w:lineRule="auto"/>
        <w:jc w:val="both"/>
        <w:rPr>
          <w:rFonts w:ascii="Times New Roman" w:eastAsia="Times New Roman" w:hAnsi="Times New Roman" w:cs="Times New Roman"/>
          <w:b/>
        </w:rPr>
      </w:pPr>
    </w:p>
    <w:p w14:paraId="551FEA0C"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 xml:space="preserve">Potraživanja temeljem prodaje obuhvaćaju sva potraživanja za izvršene usluge i isporučenu robu. </w:t>
      </w:r>
    </w:p>
    <w:p w14:paraId="4462A773"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Potraživanja iz poslovanja i ostala potraživanja se mjere po fer vrijednosti, a naknadno po trošku umanjenom za gubitke od umanjenja vrijednosti.</w:t>
      </w:r>
    </w:p>
    <w:p w14:paraId="17BEBF7F" w14:textId="77777777" w:rsidR="00131D13" w:rsidRPr="00D33D16" w:rsidRDefault="00BB29DA"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 xml:space="preserve">Na svaki datum bilance procjenjuje se postoji li objektivan dokaz o umanjenu vrijednosti pojedinog potraživanja. Ako postoji objektivan dokaz da Društvo neće moći naplatiti </w:t>
      </w:r>
      <w:r w:rsidR="00E955F2" w:rsidRPr="00D33D16">
        <w:rPr>
          <w:rFonts w:ascii="Times New Roman" w:eastAsia="Times New Roman" w:hAnsi="Times New Roman" w:cs="Times New Roman"/>
        </w:rPr>
        <w:t xml:space="preserve">svoja potraživanja provodi se ispravak vrijednosti upotrebom konta ispravka vrijednosti. </w:t>
      </w:r>
    </w:p>
    <w:p w14:paraId="0BC52104" w14:textId="77777777" w:rsidR="00E955F2" w:rsidRPr="00D33D16" w:rsidRDefault="00E955F2" w:rsidP="00131D13">
      <w:pPr>
        <w:spacing w:after="0" w:line="240" w:lineRule="auto"/>
        <w:jc w:val="both"/>
        <w:rPr>
          <w:rFonts w:ascii="Times New Roman" w:eastAsia="Times New Roman" w:hAnsi="Times New Roman" w:cs="Times New Roman"/>
        </w:rPr>
      </w:pPr>
    </w:p>
    <w:p w14:paraId="24903A92" w14:textId="77777777" w:rsidR="00131D13" w:rsidRPr="00D33D16" w:rsidRDefault="00131D13" w:rsidP="00131D13">
      <w:pPr>
        <w:spacing w:after="0" w:line="240" w:lineRule="auto"/>
        <w:jc w:val="both"/>
        <w:rPr>
          <w:rFonts w:ascii="Times New Roman" w:eastAsia="Times New Roman" w:hAnsi="Times New Roman" w:cs="Times New Roman"/>
          <w:b/>
        </w:rPr>
      </w:pPr>
      <w:r w:rsidRPr="00D33D16">
        <w:rPr>
          <w:rFonts w:ascii="Times New Roman" w:eastAsia="Times New Roman" w:hAnsi="Times New Roman" w:cs="Times New Roman"/>
          <w:b/>
        </w:rPr>
        <w:t>2.13.</w:t>
      </w:r>
      <w:r w:rsidRPr="00D33D16">
        <w:rPr>
          <w:rFonts w:ascii="Times New Roman" w:eastAsia="Times New Roman" w:hAnsi="Times New Roman" w:cs="Times New Roman"/>
          <w:b/>
        </w:rPr>
        <w:tab/>
        <w:t>Novčana sredstva</w:t>
      </w:r>
    </w:p>
    <w:p w14:paraId="4C23BBA5" w14:textId="77777777" w:rsidR="00131D13" w:rsidRPr="00D33D16" w:rsidRDefault="00131D13" w:rsidP="00131D13">
      <w:pPr>
        <w:spacing w:after="0" w:line="240" w:lineRule="auto"/>
        <w:jc w:val="both"/>
        <w:rPr>
          <w:rFonts w:ascii="Times New Roman" w:eastAsia="Times New Roman" w:hAnsi="Times New Roman" w:cs="Times New Roman"/>
          <w:b/>
        </w:rPr>
      </w:pPr>
    </w:p>
    <w:p w14:paraId="11E28329"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 xml:space="preserve">Novac i novčani ekvivalenti sastoje se od novca u blagajni i na računima banaka. </w:t>
      </w:r>
    </w:p>
    <w:p w14:paraId="39CE63AF" w14:textId="77777777" w:rsidR="00131D13" w:rsidRPr="00D33D16" w:rsidRDefault="00131D13" w:rsidP="00131D13">
      <w:pPr>
        <w:spacing w:after="0" w:line="240" w:lineRule="auto"/>
        <w:jc w:val="both"/>
        <w:rPr>
          <w:rFonts w:ascii="Times New Roman" w:eastAsia="Times New Roman" w:hAnsi="Times New Roman" w:cs="Times New Roman"/>
        </w:rPr>
      </w:pPr>
    </w:p>
    <w:p w14:paraId="3DD2F55C" w14:textId="77777777" w:rsidR="00131D13" w:rsidRPr="00D33D16" w:rsidRDefault="00131D13" w:rsidP="00131D13">
      <w:pPr>
        <w:spacing w:after="0" w:line="240" w:lineRule="auto"/>
        <w:jc w:val="both"/>
        <w:rPr>
          <w:rFonts w:ascii="Times New Roman" w:eastAsia="Times New Roman" w:hAnsi="Times New Roman" w:cs="Times New Roman"/>
          <w:b/>
        </w:rPr>
      </w:pPr>
      <w:r w:rsidRPr="00D33D16">
        <w:rPr>
          <w:rFonts w:ascii="Times New Roman" w:eastAsia="Times New Roman" w:hAnsi="Times New Roman" w:cs="Times New Roman"/>
          <w:b/>
        </w:rPr>
        <w:t>2.14.</w:t>
      </w:r>
      <w:r w:rsidRPr="00D33D16">
        <w:rPr>
          <w:rFonts w:ascii="Times New Roman" w:eastAsia="Times New Roman" w:hAnsi="Times New Roman" w:cs="Times New Roman"/>
          <w:b/>
        </w:rPr>
        <w:tab/>
        <w:t>Obveze prema zaposlenim</w:t>
      </w:r>
    </w:p>
    <w:p w14:paraId="611B9A85" w14:textId="77777777" w:rsidR="00131D13" w:rsidRPr="00D33D16" w:rsidRDefault="00131D13" w:rsidP="00131D13">
      <w:pPr>
        <w:spacing w:after="0" w:line="240" w:lineRule="auto"/>
        <w:jc w:val="both"/>
        <w:rPr>
          <w:rFonts w:ascii="Times New Roman" w:eastAsia="Times New Roman" w:hAnsi="Times New Roman" w:cs="Times New Roman"/>
          <w:b/>
          <w:i/>
          <w:u w:val="single"/>
        </w:rPr>
      </w:pPr>
    </w:p>
    <w:p w14:paraId="7B03C0D2"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Obveze za neto plaće, za doprinose mirovinskim fondovima, fondu zdravstva i za ostale doprinose priznaju se kao trošak u razdoblju u kojem nastaju.</w:t>
      </w:r>
    </w:p>
    <w:p w14:paraId="5A0936B1"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U toku redovnog poslovanja prilikom isplata plaća Društvo u ime svojih zaposlenika koji su članovi obveznih fondova obavlja redovita plaćanja sukladno zakonskim propisima.</w:t>
      </w:r>
    </w:p>
    <w:p w14:paraId="2E840EA0" w14:textId="77777777" w:rsidR="00131D13" w:rsidRPr="00D33D16" w:rsidRDefault="00131D13"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Društvo nema obvezu osiguravanja bilo kojih drugih primanja zaposlenika nakon njihova umirovljenja.</w:t>
      </w:r>
    </w:p>
    <w:p w14:paraId="1B31E04D" w14:textId="77777777" w:rsidR="00E955F2" w:rsidRPr="00D33D16" w:rsidRDefault="00E955F2" w:rsidP="00131D13">
      <w:pPr>
        <w:spacing w:after="0" w:line="240" w:lineRule="auto"/>
        <w:jc w:val="both"/>
        <w:rPr>
          <w:rFonts w:ascii="Times New Roman" w:eastAsia="Times New Roman" w:hAnsi="Times New Roman" w:cs="Times New Roman"/>
        </w:rPr>
      </w:pPr>
    </w:p>
    <w:p w14:paraId="6376AB15" w14:textId="77777777" w:rsidR="00E955F2" w:rsidRPr="00D33D16" w:rsidRDefault="00E955F2" w:rsidP="00131D13">
      <w:pPr>
        <w:spacing w:after="0" w:line="240" w:lineRule="auto"/>
        <w:jc w:val="both"/>
        <w:rPr>
          <w:rFonts w:ascii="Times New Roman" w:eastAsia="Times New Roman" w:hAnsi="Times New Roman" w:cs="Times New Roman"/>
          <w:b/>
        </w:rPr>
      </w:pPr>
      <w:r w:rsidRPr="00D33D16">
        <w:rPr>
          <w:rFonts w:ascii="Times New Roman" w:eastAsia="Times New Roman" w:hAnsi="Times New Roman" w:cs="Times New Roman"/>
          <w:b/>
        </w:rPr>
        <w:t>2.15. Vremenska razgraničenja</w:t>
      </w:r>
    </w:p>
    <w:p w14:paraId="5A8E3EE9" w14:textId="77777777" w:rsidR="00E955F2" w:rsidRPr="00D33D16" w:rsidRDefault="00E955F2" w:rsidP="00131D13">
      <w:pPr>
        <w:spacing w:after="0" w:line="240" w:lineRule="auto"/>
        <w:jc w:val="both"/>
        <w:rPr>
          <w:rFonts w:ascii="Times New Roman" w:eastAsia="Times New Roman" w:hAnsi="Times New Roman" w:cs="Times New Roman"/>
          <w:b/>
        </w:rPr>
      </w:pPr>
    </w:p>
    <w:p w14:paraId="1E105B45" w14:textId="77777777" w:rsidR="00E955F2" w:rsidRPr="00D33D16" w:rsidRDefault="00E955F2" w:rsidP="00131D13">
      <w:pPr>
        <w:spacing w:after="0" w:line="240" w:lineRule="auto"/>
        <w:jc w:val="both"/>
        <w:rPr>
          <w:rFonts w:ascii="Times New Roman" w:eastAsia="Times New Roman" w:hAnsi="Times New Roman" w:cs="Times New Roman"/>
        </w:rPr>
      </w:pPr>
      <w:r w:rsidRPr="00D33D16">
        <w:rPr>
          <w:rFonts w:ascii="Times New Roman" w:eastAsia="Times New Roman" w:hAnsi="Times New Roman" w:cs="Times New Roman"/>
        </w:rPr>
        <w:t>Obuhvaćaju unaprijed plaćene troškove, nedospjelu naplatu prihoda, odgođeno plaćanje troškova i prihod budućeg razdoblja.</w:t>
      </w:r>
    </w:p>
    <w:p w14:paraId="748A2BBF" w14:textId="77777777" w:rsidR="00572307" w:rsidRPr="00D33D16" w:rsidRDefault="00572307" w:rsidP="00131D13">
      <w:pPr>
        <w:spacing w:after="0" w:line="240" w:lineRule="auto"/>
        <w:jc w:val="both"/>
        <w:rPr>
          <w:rFonts w:ascii="Times New Roman" w:eastAsia="Times New Roman" w:hAnsi="Times New Roman" w:cs="Times New Roman"/>
        </w:rPr>
      </w:pPr>
    </w:p>
    <w:p w14:paraId="65234122" w14:textId="77777777" w:rsidR="00F42FCB" w:rsidRDefault="00F42FCB" w:rsidP="00131D13">
      <w:pPr>
        <w:spacing w:after="0" w:line="240" w:lineRule="auto"/>
        <w:jc w:val="both"/>
        <w:rPr>
          <w:rFonts w:ascii="Times New Roman" w:eastAsia="Times New Roman" w:hAnsi="Times New Roman" w:cs="Times New Roman"/>
          <w:b/>
        </w:rPr>
      </w:pPr>
    </w:p>
    <w:p w14:paraId="58333B32" w14:textId="77777777" w:rsidR="0075481A" w:rsidRDefault="0075481A" w:rsidP="00131D13">
      <w:pPr>
        <w:spacing w:after="0" w:line="240" w:lineRule="auto"/>
        <w:jc w:val="both"/>
        <w:rPr>
          <w:rFonts w:ascii="Times New Roman" w:eastAsia="Times New Roman" w:hAnsi="Times New Roman" w:cs="Times New Roman"/>
          <w:b/>
        </w:rPr>
      </w:pPr>
    </w:p>
    <w:p w14:paraId="4072C368" w14:textId="77777777" w:rsidR="0075481A" w:rsidRDefault="0075481A" w:rsidP="00131D13">
      <w:pPr>
        <w:spacing w:after="0" w:line="240" w:lineRule="auto"/>
        <w:jc w:val="both"/>
        <w:rPr>
          <w:rFonts w:ascii="Times New Roman" w:eastAsia="Times New Roman" w:hAnsi="Times New Roman" w:cs="Times New Roman"/>
          <w:b/>
        </w:rPr>
      </w:pPr>
    </w:p>
    <w:p w14:paraId="0DBF493F" w14:textId="77777777" w:rsidR="0075481A" w:rsidRDefault="0075481A" w:rsidP="00131D13">
      <w:pPr>
        <w:spacing w:after="0" w:line="240" w:lineRule="auto"/>
        <w:jc w:val="both"/>
        <w:rPr>
          <w:rFonts w:ascii="Times New Roman" w:eastAsia="Times New Roman" w:hAnsi="Times New Roman" w:cs="Times New Roman"/>
          <w:b/>
        </w:rPr>
      </w:pPr>
    </w:p>
    <w:p w14:paraId="7E69AEE7" w14:textId="77777777" w:rsidR="0075481A" w:rsidRDefault="0075481A" w:rsidP="00131D13">
      <w:pPr>
        <w:spacing w:after="0" w:line="240" w:lineRule="auto"/>
        <w:jc w:val="both"/>
        <w:rPr>
          <w:rFonts w:ascii="Times New Roman" w:eastAsia="Times New Roman" w:hAnsi="Times New Roman" w:cs="Times New Roman"/>
          <w:b/>
        </w:rPr>
      </w:pPr>
    </w:p>
    <w:p w14:paraId="3767DCE3" w14:textId="77777777" w:rsidR="0075481A" w:rsidRDefault="0075481A" w:rsidP="00131D13">
      <w:pPr>
        <w:spacing w:after="0" w:line="240" w:lineRule="auto"/>
        <w:jc w:val="both"/>
        <w:rPr>
          <w:rFonts w:ascii="Times New Roman" w:eastAsia="Times New Roman" w:hAnsi="Times New Roman" w:cs="Times New Roman"/>
          <w:b/>
        </w:rPr>
      </w:pPr>
    </w:p>
    <w:p w14:paraId="2691CBCE" w14:textId="77777777" w:rsidR="0075481A" w:rsidRDefault="0075481A" w:rsidP="00131D13">
      <w:pPr>
        <w:spacing w:after="0" w:line="240" w:lineRule="auto"/>
        <w:jc w:val="both"/>
        <w:rPr>
          <w:rFonts w:ascii="Times New Roman" w:eastAsia="Times New Roman" w:hAnsi="Times New Roman" w:cs="Times New Roman"/>
          <w:b/>
        </w:rPr>
      </w:pPr>
    </w:p>
    <w:p w14:paraId="4244616C" w14:textId="77777777" w:rsidR="0075481A" w:rsidRDefault="0075481A" w:rsidP="00131D13">
      <w:pPr>
        <w:spacing w:after="0" w:line="240" w:lineRule="auto"/>
        <w:jc w:val="both"/>
        <w:rPr>
          <w:rFonts w:ascii="Times New Roman" w:eastAsia="Times New Roman" w:hAnsi="Times New Roman" w:cs="Times New Roman"/>
          <w:b/>
        </w:rPr>
      </w:pPr>
    </w:p>
    <w:p w14:paraId="545A3FEE" w14:textId="77777777" w:rsidR="0075481A" w:rsidRDefault="0075481A" w:rsidP="00131D13">
      <w:pPr>
        <w:spacing w:after="0" w:line="240" w:lineRule="auto"/>
        <w:jc w:val="both"/>
        <w:rPr>
          <w:rFonts w:ascii="Times New Roman" w:eastAsia="Times New Roman" w:hAnsi="Times New Roman" w:cs="Times New Roman"/>
          <w:b/>
        </w:rPr>
      </w:pPr>
    </w:p>
    <w:p w14:paraId="2553632E" w14:textId="77777777" w:rsidR="0075481A" w:rsidRDefault="0075481A" w:rsidP="00131D13">
      <w:pPr>
        <w:spacing w:after="0" w:line="240" w:lineRule="auto"/>
        <w:jc w:val="both"/>
        <w:rPr>
          <w:rFonts w:ascii="Times New Roman" w:eastAsia="Times New Roman" w:hAnsi="Times New Roman" w:cs="Times New Roman"/>
          <w:b/>
        </w:rPr>
      </w:pPr>
    </w:p>
    <w:p w14:paraId="0B10ADC3" w14:textId="77777777" w:rsidR="0075481A" w:rsidRDefault="0075481A" w:rsidP="00131D13">
      <w:pPr>
        <w:spacing w:after="0" w:line="240" w:lineRule="auto"/>
        <w:jc w:val="both"/>
        <w:rPr>
          <w:rFonts w:ascii="Times New Roman" w:eastAsia="Times New Roman" w:hAnsi="Times New Roman" w:cs="Times New Roman"/>
          <w:b/>
        </w:rPr>
      </w:pPr>
    </w:p>
    <w:p w14:paraId="19E6C159" w14:textId="77777777" w:rsidR="0075481A" w:rsidRDefault="0075481A" w:rsidP="00131D13">
      <w:pPr>
        <w:spacing w:after="0" w:line="240" w:lineRule="auto"/>
        <w:jc w:val="both"/>
        <w:rPr>
          <w:rFonts w:ascii="Times New Roman" w:eastAsia="Times New Roman" w:hAnsi="Times New Roman" w:cs="Times New Roman"/>
          <w:b/>
        </w:rPr>
      </w:pPr>
    </w:p>
    <w:p w14:paraId="44942CF4" w14:textId="77777777" w:rsidR="0075481A" w:rsidRDefault="0075481A" w:rsidP="00131D13">
      <w:pPr>
        <w:spacing w:after="0" w:line="240" w:lineRule="auto"/>
        <w:jc w:val="both"/>
        <w:rPr>
          <w:rFonts w:ascii="Times New Roman" w:eastAsia="Times New Roman" w:hAnsi="Times New Roman" w:cs="Times New Roman"/>
          <w:b/>
        </w:rPr>
      </w:pPr>
    </w:p>
    <w:p w14:paraId="038D5A45" w14:textId="77777777" w:rsidR="0075481A" w:rsidRDefault="0075481A" w:rsidP="00131D13">
      <w:pPr>
        <w:spacing w:after="0" w:line="240" w:lineRule="auto"/>
        <w:jc w:val="both"/>
        <w:rPr>
          <w:rFonts w:ascii="Times New Roman" w:eastAsia="Times New Roman" w:hAnsi="Times New Roman" w:cs="Times New Roman"/>
          <w:b/>
        </w:rPr>
      </w:pPr>
    </w:p>
    <w:p w14:paraId="0BF76C0D" w14:textId="38E46C60" w:rsidR="008675AD" w:rsidRDefault="00A81432" w:rsidP="008675A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w:t>
      </w:r>
    </w:p>
    <w:p w14:paraId="58740084" w14:textId="77777777" w:rsidR="006B51F5" w:rsidRPr="0075481A" w:rsidRDefault="006B51F5" w:rsidP="00131D13">
      <w:pPr>
        <w:spacing w:after="0" w:line="240" w:lineRule="auto"/>
        <w:jc w:val="both"/>
        <w:rPr>
          <w:rFonts w:ascii="Times New Roman" w:eastAsia="Times New Roman" w:hAnsi="Times New Roman" w:cs="Times New Roman"/>
          <w:b/>
        </w:rPr>
      </w:pPr>
      <w:r w:rsidRPr="0075481A">
        <w:rPr>
          <w:rFonts w:ascii="Times New Roman" w:eastAsia="Times New Roman" w:hAnsi="Times New Roman" w:cs="Times New Roman"/>
          <w:b/>
        </w:rPr>
        <w:lastRenderedPageBreak/>
        <w:t>BILANCA</w:t>
      </w:r>
    </w:p>
    <w:p w14:paraId="7544ADED" w14:textId="77777777" w:rsidR="00131D13" w:rsidRPr="0075481A" w:rsidRDefault="00131D13" w:rsidP="00131D13">
      <w:pPr>
        <w:spacing w:after="0" w:line="240" w:lineRule="auto"/>
        <w:jc w:val="right"/>
        <w:rPr>
          <w:rFonts w:ascii="Times New Roman" w:eastAsia="Times New Roman" w:hAnsi="Times New Roman" w:cs="Times New Roman"/>
        </w:rPr>
      </w:pPr>
    </w:p>
    <w:p w14:paraId="66D16577" w14:textId="77777777" w:rsidR="00131D13" w:rsidRPr="0075481A" w:rsidRDefault="00131D13" w:rsidP="00131D13">
      <w:pPr>
        <w:spacing w:after="0" w:line="240" w:lineRule="auto"/>
        <w:jc w:val="both"/>
        <w:rPr>
          <w:rFonts w:ascii="Times New Roman" w:eastAsia="Times New Roman" w:hAnsi="Times New Roman" w:cs="Times New Roman"/>
          <w:b/>
        </w:rPr>
      </w:pPr>
      <w:r w:rsidRPr="0075481A">
        <w:rPr>
          <w:rFonts w:ascii="Times New Roman" w:eastAsia="Times New Roman" w:hAnsi="Times New Roman" w:cs="Times New Roman"/>
          <w:b/>
        </w:rPr>
        <w:t>Bilješka 3.  Dugotrajna nematerijalna i materijalna  imovina</w:t>
      </w:r>
    </w:p>
    <w:p w14:paraId="1191013D" w14:textId="77777777" w:rsidR="00F42FCB" w:rsidRPr="0075481A" w:rsidRDefault="00F42FCB" w:rsidP="00F42FCB">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p>
    <w:p w14:paraId="002B62AA" w14:textId="77777777" w:rsidR="009F7755" w:rsidRPr="0075481A" w:rsidRDefault="009F7755" w:rsidP="009F7755">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75481A">
        <w:rPr>
          <w:rFonts w:ascii="Times New Roman" w:eastAsia="Calibri" w:hAnsi="Times New Roman" w:cs="Times New Roman"/>
          <w:b/>
          <w:lang w:eastAsia="hr-HR"/>
        </w:rPr>
        <w:t>Nematerijalna imovina</w:t>
      </w:r>
    </w:p>
    <w:p w14:paraId="12E2F4DA" w14:textId="77777777" w:rsidR="00247559" w:rsidRPr="0075481A" w:rsidRDefault="00247559" w:rsidP="00247559">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75481A">
        <w:rPr>
          <w:rFonts w:ascii="Times New Roman" w:eastAsia="Calibri" w:hAnsi="Times New Roman" w:cs="Times New Roman"/>
          <w:b/>
          <w:lang w:eastAsia="hr-HR"/>
        </w:rPr>
        <w:t>Nematerijalna imovina</w:t>
      </w:r>
    </w:p>
    <w:p w14:paraId="27D805E5" w14:textId="0864DB17" w:rsidR="00247559" w:rsidRPr="0075481A" w:rsidRDefault="00247559" w:rsidP="00247559">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 xml:space="preserve">Nematerijalna imovina u iznosu od 231.209,69 EUR,  na dan 31.12.2023. sastoji se od: </w:t>
      </w:r>
    </w:p>
    <w:p w14:paraId="2566EC99" w14:textId="66DC098A" w:rsidR="00247559" w:rsidRPr="0075481A" w:rsidRDefault="00247559" w:rsidP="00247559">
      <w:pPr>
        <w:numPr>
          <w:ilvl w:val="0"/>
          <w:numId w:val="4"/>
        </w:num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 xml:space="preserve">ulaganje na tuđoj imovini, licence i softver u iznosu od 213.183,73 EUR bilježi smanjenje od 15% u odnosu na 2022. godinu s razlogom nabave malog značaja od 1.560,00 EUR, te smanjenjem priznavanjem amortizacije kao rashod u svoti obračunatoj na trošak nabave.  </w:t>
      </w:r>
    </w:p>
    <w:p w14:paraId="788F6B37" w14:textId="6AD4CBC7" w:rsidR="00247559" w:rsidRPr="0075481A" w:rsidRDefault="00247559" w:rsidP="00247559">
      <w:pPr>
        <w:numPr>
          <w:ilvl w:val="0"/>
          <w:numId w:val="4"/>
        </w:num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 xml:space="preserve">nematerijalne imovine u pripremi u iznosu od 18.025,96 EUR (izdaci za daljnje proširenje gradskog groblja u Puli 5.163,38 EUR,  izdaci za izradu dvostrukih malih niša na gradskom groblja u Puli 9.994,58 EUR i  izdaci za daljnje proširenje groblja u </w:t>
      </w:r>
      <w:proofErr w:type="spellStart"/>
      <w:r w:rsidRPr="0075481A">
        <w:rPr>
          <w:rFonts w:ascii="Times New Roman" w:eastAsia="Calibri" w:hAnsi="Times New Roman" w:cs="Times New Roman"/>
        </w:rPr>
        <w:t>Štinjanu</w:t>
      </w:r>
      <w:proofErr w:type="spellEnd"/>
      <w:r w:rsidRPr="0075481A">
        <w:rPr>
          <w:rFonts w:ascii="Times New Roman" w:eastAsia="Calibri" w:hAnsi="Times New Roman" w:cs="Times New Roman"/>
        </w:rPr>
        <w:t xml:space="preserve"> 2.868,00 EUR). </w:t>
      </w:r>
    </w:p>
    <w:p w14:paraId="6826C08A" w14:textId="77777777" w:rsidR="00F42FCB" w:rsidRPr="0075481A" w:rsidRDefault="00F42FCB" w:rsidP="00F42FCB">
      <w:pPr>
        <w:suppressAutoHyphens/>
        <w:autoSpaceDN w:val="0"/>
        <w:spacing w:after="0" w:line="276" w:lineRule="auto"/>
        <w:textAlignment w:val="baseline"/>
        <w:rPr>
          <w:rFonts w:ascii="Times New Roman" w:eastAsia="Calibri" w:hAnsi="Times New Roman" w:cs="Times New Roman"/>
          <w:b/>
          <w:noProof/>
          <w:color w:val="0F243E"/>
          <w:kern w:val="3"/>
          <w:lang w:eastAsia="hr-HR"/>
        </w:rPr>
      </w:pPr>
    </w:p>
    <w:p w14:paraId="1B531FA9" w14:textId="77777777" w:rsidR="009F7755" w:rsidRPr="0075481A" w:rsidRDefault="009F7755" w:rsidP="009F7755">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75481A">
        <w:rPr>
          <w:rFonts w:ascii="Times New Roman" w:eastAsia="Calibri" w:hAnsi="Times New Roman" w:cs="Times New Roman"/>
          <w:b/>
          <w:lang w:eastAsia="hr-HR"/>
        </w:rPr>
        <w:t>Materijalna imovina</w:t>
      </w:r>
    </w:p>
    <w:p w14:paraId="32FAD896" w14:textId="204A2ADF" w:rsidR="003501AD" w:rsidRPr="0075481A" w:rsidRDefault="003501AD" w:rsidP="003501AD">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Materijalna imovina je na kraju 2023. godine iznosila 139.535,02 EUR, te je za 16% povećana u odnosu na prethodnu godinu. Povećanje materijalne imovine rezultat je nabavom nove materijalne imovine u iznosu od 45.663</w:t>
      </w:r>
      <w:r w:rsidR="00C565D4">
        <w:rPr>
          <w:rFonts w:ascii="Times New Roman" w:eastAsia="Calibri" w:hAnsi="Times New Roman" w:cs="Times New Roman"/>
        </w:rPr>
        <w:t>,00</w:t>
      </w:r>
      <w:r w:rsidRPr="0075481A">
        <w:rPr>
          <w:rFonts w:ascii="Times New Roman" w:eastAsia="Calibri" w:hAnsi="Times New Roman" w:cs="Times New Roman"/>
        </w:rPr>
        <w:t xml:space="preserve"> EUR.</w:t>
      </w:r>
    </w:p>
    <w:p w14:paraId="0341CB98" w14:textId="77777777" w:rsidR="00C565D4" w:rsidRPr="00C565D4" w:rsidRDefault="00C565D4" w:rsidP="00C565D4">
      <w:pPr>
        <w:widowControl w:val="0"/>
        <w:tabs>
          <w:tab w:val="left" w:pos="3119"/>
          <w:tab w:val="left" w:pos="8640"/>
        </w:tabs>
        <w:suppressAutoHyphens/>
        <w:spacing w:after="0" w:line="240" w:lineRule="auto"/>
        <w:ind w:right="-900"/>
        <w:rPr>
          <w:rFonts w:ascii="Times New Roman" w:eastAsia="Lucida Sans Unicode" w:hAnsi="Times New Roman" w:cs="Times New Roman"/>
        </w:rPr>
      </w:pPr>
      <w:r w:rsidRPr="00C565D4">
        <w:rPr>
          <w:rFonts w:ascii="Times New Roman" w:eastAsia="Lucida Sans Unicode" w:hAnsi="Times New Roman" w:cs="Times New Roman"/>
        </w:rPr>
        <w:t>U 2023. godini rashodovano je opreme i alata u iznosu od 28.592,29 EUR nabavne vrijednosti i prodano opreme u iznosu od 3.464,07 EUR nabavne vrijednosti.</w:t>
      </w:r>
    </w:p>
    <w:p w14:paraId="136E661A" w14:textId="77777777" w:rsidR="003501AD" w:rsidRPr="00C565D4" w:rsidRDefault="003501AD" w:rsidP="003501AD">
      <w:pPr>
        <w:spacing w:after="240" w:line="276" w:lineRule="auto"/>
        <w:contextualSpacing/>
        <w:jc w:val="both"/>
        <w:rPr>
          <w:rFonts w:ascii="Times New Roman" w:eastAsia="Calibri" w:hAnsi="Times New Roman" w:cs="Times New Roman"/>
        </w:rPr>
      </w:pPr>
    </w:p>
    <w:p w14:paraId="0D4FA1E7" w14:textId="3DB5BA64" w:rsidR="003501AD" w:rsidRPr="0075481A" w:rsidRDefault="003501AD" w:rsidP="003501AD">
      <w:pPr>
        <w:spacing w:after="24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Investicije u dugotrajnu imovinu u 2023. godini iznosile su 69.705,00 EUR, a odnose se na nabavu:</w:t>
      </w:r>
    </w:p>
    <w:p w14:paraId="4302E612" w14:textId="77777777" w:rsidR="003501AD" w:rsidRPr="0075481A" w:rsidRDefault="003501AD" w:rsidP="003501AD">
      <w:pPr>
        <w:numPr>
          <w:ilvl w:val="0"/>
          <w:numId w:val="2"/>
        </w:numPr>
        <w:spacing w:after="0" w:line="276" w:lineRule="auto"/>
        <w:ind w:left="284" w:hanging="284"/>
        <w:contextualSpacing/>
        <w:jc w:val="both"/>
        <w:rPr>
          <w:rFonts w:ascii="Times New Roman" w:eastAsia="Calibri" w:hAnsi="Times New Roman" w:cs="Times New Roman"/>
        </w:rPr>
      </w:pPr>
      <w:r w:rsidRPr="0075481A">
        <w:rPr>
          <w:rFonts w:ascii="Times New Roman" w:eastAsia="Calibri" w:hAnsi="Times New Roman" w:cs="Times New Roman"/>
        </w:rPr>
        <w:t xml:space="preserve">Izdaci za izradu dvostrukih malih niša i zemljanih grobnih mjesta sa </w:t>
      </w:r>
    </w:p>
    <w:p w14:paraId="6141217F" w14:textId="0800FD3D" w:rsidR="003501AD" w:rsidRPr="0075481A" w:rsidRDefault="003501AD" w:rsidP="003501AD">
      <w:pPr>
        <w:spacing w:line="276" w:lineRule="auto"/>
        <w:ind w:left="284"/>
        <w:contextualSpacing/>
        <w:jc w:val="both"/>
        <w:rPr>
          <w:rFonts w:ascii="Times New Roman" w:eastAsia="Calibri" w:hAnsi="Times New Roman" w:cs="Times New Roman"/>
        </w:rPr>
      </w:pPr>
      <w:r w:rsidRPr="0075481A">
        <w:rPr>
          <w:rFonts w:ascii="Times New Roman" w:eastAsia="Calibri" w:hAnsi="Times New Roman" w:cs="Times New Roman"/>
        </w:rPr>
        <w:t xml:space="preserve">temeljima na Gradskom groblju u Puli  </w:t>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t xml:space="preserve">      </w:t>
      </w:r>
      <w:r w:rsidR="00892AB0">
        <w:rPr>
          <w:rFonts w:ascii="Times New Roman" w:eastAsia="Calibri" w:hAnsi="Times New Roman" w:cs="Times New Roman"/>
        </w:rPr>
        <w:t xml:space="preserve"> </w:t>
      </w:r>
      <w:r w:rsidRPr="0075481A">
        <w:rPr>
          <w:rFonts w:ascii="Times New Roman" w:eastAsia="Calibri" w:hAnsi="Times New Roman" w:cs="Times New Roman"/>
        </w:rPr>
        <w:t xml:space="preserve"> 14.981,00 EUR</w:t>
      </w:r>
    </w:p>
    <w:p w14:paraId="1AAEE0A0" w14:textId="7B707A38" w:rsidR="003501AD" w:rsidRPr="0075481A" w:rsidRDefault="003501AD" w:rsidP="003501AD">
      <w:pPr>
        <w:numPr>
          <w:ilvl w:val="0"/>
          <w:numId w:val="2"/>
        </w:numPr>
        <w:spacing w:after="0" w:line="276" w:lineRule="auto"/>
        <w:ind w:left="284" w:hanging="284"/>
        <w:contextualSpacing/>
        <w:jc w:val="both"/>
        <w:rPr>
          <w:rFonts w:ascii="Times New Roman" w:eastAsia="Calibri" w:hAnsi="Times New Roman" w:cs="Times New Roman"/>
        </w:rPr>
      </w:pPr>
      <w:r w:rsidRPr="0075481A">
        <w:rPr>
          <w:rFonts w:ascii="Times New Roman" w:eastAsia="Calibri" w:hAnsi="Times New Roman" w:cs="Times New Roman"/>
        </w:rPr>
        <w:t>Izdaci za projektni razvoj Gradsko groblje Pula</w:t>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t xml:space="preserve">          4.632,00 EUR</w:t>
      </w:r>
    </w:p>
    <w:p w14:paraId="41EC2BA6" w14:textId="69741F3D" w:rsidR="003501AD" w:rsidRPr="0075481A" w:rsidRDefault="003501AD" w:rsidP="003501AD">
      <w:pPr>
        <w:numPr>
          <w:ilvl w:val="0"/>
          <w:numId w:val="2"/>
        </w:numPr>
        <w:spacing w:after="0" w:line="276" w:lineRule="auto"/>
        <w:ind w:left="284" w:hanging="284"/>
        <w:contextualSpacing/>
        <w:jc w:val="both"/>
        <w:rPr>
          <w:rFonts w:ascii="Times New Roman" w:eastAsia="Calibri" w:hAnsi="Times New Roman" w:cs="Times New Roman"/>
        </w:rPr>
      </w:pPr>
      <w:r w:rsidRPr="0075481A">
        <w:rPr>
          <w:rFonts w:ascii="Times New Roman" w:eastAsia="Calibri" w:hAnsi="Times New Roman" w:cs="Times New Roman"/>
        </w:rPr>
        <w:t xml:space="preserve">Izdaci za projektni razvoj mjesno groblje </w:t>
      </w:r>
      <w:proofErr w:type="spellStart"/>
      <w:r w:rsidRPr="0075481A">
        <w:rPr>
          <w:rFonts w:ascii="Times New Roman" w:eastAsia="Calibri" w:hAnsi="Times New Roman" w:cs="Times New Roman"/>
        </w:rPr>
        <w:t>Štinjan</w:t>
      </w:r>
      <w:proofErr w:type="spellEnd"/>
      <w:r w:rsidRPr="0075481A">
        <w:rPr>
          <w:rFonts w:ascii="Times New Roman" w:eastAsia="Calibri" w:hAnsi="Times New Roman" w:cs="Times New Roman"/>
        </w:rPr>
        <w:tab/>
        <w:t xml:space="preserve">                                                </w:t>
      </w:r>
      <w:r w:rsidR="00892AB0">
        <w:rPr>
          <w:rFonts w:ascii="Times New Roman" w:eastAsia="Calibri" w:hAnsi="Times New Roman" w:cs="Times New Roman"/>
        </w:rPr>
        <w:t xml:space="preserve"> </w:t>
      </w:r>
      <w:r w:rsidRPr="0075481A">
        <w:rPr>
          <w:rFonts w:ascii="Times New Roman" w:eastAsia="Calibri" w:hAnsi="Times New Roman" w:cs="Times New Roman"/>
        </w:rPr>
        <w:t>2.869,00 EUR</w:t>
      </w:r>
    </w:p>
    <w:p w14:paraId="1C534AC3" w14:textId="28FFC7D5" w:rsidR="003501AD" w:rsidRPr="0075481A" w:rsidRDefault="003501AD" w:rsidP="003501AD">
      <w:pPr>
        <w:numPr>
          <w:ilvl w:val="0"/>
          <w:numId w:val="2"/>
        </w:numPr>
        <w:spacing w:after="0" w:line="276" w:lineRule="auto"/>
        <w:ind w:left="284" w:hanging="284"/>
        <w:contextualSpacing/>
        <w:jc w:val="both"/>
        <w:rPr>
          <w:rFonts w:ascii="Times New Roman" w:eastAsia="Calibri" w:hAnsi="Times New Roman" w:cs="Times New Roman"/>
        </w:rPr>
      </w:pPr>
      <w:r w:rsidRPr="0075481A">
        <w:rPr>
          <w:rFonts w:ascii="Times New Roman" w:eastAsia="Calibri" w:hAnsi="Times New Roman" w:cs="Times New Roman"/>
        </w:rPr>
        <w:t>Računalni softver</w:t>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t xml:space="preserve">       </w:t>
      </w:r>
      <w:r w:rsidR="00892AB0">
        <w:rPr>
          <w:rFonts w:ascii="Times New Roman" w:eastAsia="Calibri" w:hAnsi="Times New Roman" w:cs="Times New Roman"/>
        </w:rPr>
        <w:t xml:space="preserve"> </w:t>
      </w:r>
      <w:r w:rsidRPr="0075481A">
        <w:rPr>
          <w:rFonts w:ascii="Times New Roman" w:eastAsia="Calibri" w:hAnsi="Times New Roman" w:cs="Times New Roman"/>
        </w:rPr>
        <w:t xml:space="preserve">   1.560,00 EUR</w:t>
      </w:r>
    </w:p>
    <w:p w14:paraId="4267CAF2" w14:textId="26DF5EAC" w:rsidR="003501AD" w:rsidRPr="0075481A" w:rsidRDefault="003501AD" w:rsidP="003501AD">
      <w:pPr>
        <w:numPr>
          <w:ilvl w:val="0"/>
          <w:numId w:val="2"/>
        </w:numPr>
        <w:spacing w:after="0" w:line="276" w:lineRule="auto"/>
        <w:ind w:left="284" w:right="-426" w:hanging="284"/>
        <w:contextualSpacing/>
        <w:jc w:val="both"/>
        <w:rPr>
          <w:rFonts w:ascii="Times New Roman" w:eastAsia="Calibri" w:hAnsi="Times New Roman" w:cs="Times New Roman"/>
        </w:rPr>
      </w:pPr>
      <w:r w:rsidRPr="0075481A">
        <w:rPr>
          <w:rFonts w:ascii="Times New Roman" w:eastAsia="Calibri" w:hAnsi="Times New Roman" w:cs="Times New Roman"/>
        </w:rPr>
        <w:t xml:space="preserve">Postrojenja i oprema </w:t>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r>
      <w:r w:rsidRPr="0075481A">
        <w:rPr>
          <w:rFonts w:ascii="Times New Roman" w:eastAsia="Calibri" w:hAnsi="Times New Roman" w:cs="Times New Roman"/>
        </w:rPr>
        <w:tab/>
        <w:t xml:space="preserve">       </w:t>
      </w:r>
      <w:r w:rsidR="00892AB0">
        <w:rPr>
          <w:rFonts w:ascii="Times New Roman" w:eastAsia="Calibri" w:hAnsi="Times New Roman" w:cs="Times New Roman"/>
        </w:rPr>
        <w:t xml:space="preserve"> </w:t>
      </w:r>
      <w:r w:rsidRPr="0075481A">
        <w:rPr>
          <w:rFonts w:ascii="Times New Roman" w:eastAsia="Calibri" w:hAnsi="Times New Roman" w:cs="Times New Roman"/>
        </w:rPr>
        <w:t xml:space="preserve">45.663,00  EUR </w:t>
      </w:r>
      <w:r w:rsidRPr="0075481A">
        <w:rPr>
          <w:rFonts w:ascii="Times New Roman" w:eastAsia="Calibri" w:hAnsi="Times New Roman" w:cs="Times New Roman"/>
        </w:rPr>
        <w:tab/>
      </w:r>
    </w:p>
    <w:p w14:paraId="5185B581" w14:textId="77777777" w:rsidR="00F42FCB" w:rsidRPr="0075481A" w:rsidRDefault="00F42FCB" w:rsidP="00F42FCB">
      <w:pPr>
        <w:spacing w:after="0" w:line="276" w:lineRule="auto"/>
        <w:contextualSpacing/>
        <w:jc w:val="both"/>
        <w:rPr>
          <w:rFonts w:ascii="Times New Roman" w:eastAsia="Calibri" w:hAnsi="Times New Roman" w:cs="Times New Roman"/>
          <w:color w:val="FF0000"/>
        </w:rPr>
      </w:pPr>
    </w:p>
    <w:p w14:paraId="69643343" w14:textId="77777777" w:rsidR="009F7755" w:rsidRPr="0075481A" w:rsidRDefault="009F7755" w:rsidP="009F7755">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75481A">
        <w:rPr>
          <w:rFonts w:ascii="Times New Roman" w:eastAsia="Calibri" w:hAnsi="Times New Roman" w:cs="Times New Roman"/>
          <w:b/>
          <w:lang w:eastAsia="hr-HR"/>
        </w:rPr>
        <w:t>Financijska imovina</w:t>
      </w:r>
    </w:p>
    <w:p w14:paraId="3D631746" w14:textId="6D21544A" w:rsidR="003501AD" w:rsidRPr="0075481A" w:rsidRDefault="003501AD" w:rsidP="003501AD">
      <w:pPr>
        <w:tabs>
          <w:tab w:val="right" w:pos="5103"/>
        </w:tabs>
        <w:suppressAutoHyphens/>
        <w:autoSpaceDN w:val="0"/>
        <w:spacing w:after="0" w:line="276" w:lineRule="auto"/>
        <w:jc w:val="both"/>
        <w:textAlignment w:val="baseline"/>
        <w:rPr>
          <w:rFonts w:ascii="Times New Roman" w:eastAsia="Calibri" w:hAnsi="Times New Roman" w:cs="Times New Roman"/>
          <w:lang w:eastAsia="hr-HR"/>
        </w:rPr>
      </w:pPr>
      <w:r w:rsidRPr="0075481A">
        <w:rPr>
          <w:rFonts w:ascii="Times New Roman" w:eastAsia="Calibri" w:hAnsi="Times New Roman" w:cs="Times New Roman"/>
          <w:lang w:eastAsia="hr-HR"/>
        </w:rPr>
        <w:t xml:space="preserve">Iskazana su ulaganja, udružena sredstva za izgradnju vodovoda </w:t>
      </w:r>
      <w:proofErr w:type="spellStart"/>
      <w:r w:rsidRPr="0075481A">
        <w:rPr>
          <w:rFonts w:ascii="Times New Roman" w:eastAsia="Calibri" w:hAnsi="Times New Roman" w:cs="Times New Roman"/>
          <w:lang w:eastAsia="hr-HR"/>
        </w:rPr>
        <w:t>Butoniga</w:t>
      </w:r>
      <w:proofErr w:type="spellEnd"/>
      <w:r w:rsidRPr="0075481A">
        <w:rPr>
          <w:rFonts w:ascii="Times New Roman" w:eastAsia="Calibri" w:hAnsi="Times New Roman" w:cs="Times New Roman"/>
          <w:lang w:eastAsia="hr-HR"/>
        </w:rPr>
        <w:t xml:space="preserve"> u iznosu od 11,09 EUR, i </w:t>
      </w:r>
      <w:proofErr w:type="spellStart"/>
      <w:r w:rsidRPr="0075481A">
        <w:rPr>
          <w:rFonts w:ascii="Times New Roman" w:eastAsia="Calibri" w:hAnsi="Times New Roman" w:cs="Times New Roman"/>
          <w:lang w:eastAsia="hr-HR"/>
        </w:rPr>
        <w:t>oročenje</w:t>
      </w:r>
      <w:proofErr w:type="spellEnd"/>
      <w:r w:rsidRPr="0075481A">
        <w:rPr>
          <w:rFonts w:ascii="Times New Roman" w:eastAsia="Calibri" w:hAnsi="Times New Roman" w:cs="Times New Roman"/>
          <w:lang w:eastAsia="hr-HR"/>
        </w:rPr>
        <w:t xml:space="preserve"> depozita u iznosu od 110.000,00 EUR u KENT banci d.d., Zagreb, na rok </w:t>
      </w:r>
      <w:proofErr w:type="spellStart"/>
      <w:r w:rsidRPr="0075481A">
        <w:rPr>
          <w:rFonts w:ascii="Times New Roman" w:eastAsia="Calibri" w:hAnsi="Times New Roman" w:cs="Times New Roman"/>
          <w:lang w:eastAsia="hr-HR"/>
        </w:rPr>
        <w:t>oročenja</w:t>
      </w:r>
      <w:proofErr w:type="spellEnd"/>
      <w:r w:rsidRPr="0075481A">
        <w:rPr>
          <w:rFonts w:ascii="Times New Roman" w:eastAsia="Calibri" w:hAnsi="Times New Roman" w:cs="Times New Roman"/>
          <w:lang w:eastAsia="hr-HR"/>
        </w:rPr>
        <w:t xml:space="preserve"> od 12 mjeseci uz fiksnu kamatnu stopu od 3,10% godišnje. Kamata se isplaćuje  po isteku </w:t>
      </w:r>
      <w:proofErr w:type="spellStart"/>
      <w:r w:rsidRPr="0075481A">
        <w:rPr>
          <w:rFonts w:ascii="Times New Roman" w:eastAsia="Calibri" w:hAnsi="Times New Roman" w:cs="Times New Roman"/>
          <w:lang w:eastAsia="hr-HR"/>
        </w:rPr>
        <w:t>oročenja</w:t>
      </w:r>
      <w:proofErr w:type="spellEnd"/>
      <w:r w:rsidRPr="0075481A">
        <w:rPr>
          <w:rFonts w:ascii="Times New Roman" w:eastAsia="Calibri" w:hAnsi="Times New Roman" w:cs="Times New Roman"/>
          <w:lang w:eastAsia="hr-HR"/>
        </w:rPr>
        <w:t>.</w:t>
      </w:r>
    </w:p>
    <w:p w14:paraId="0EC51381" w14:textId="77777777" w:rsidR="003501AD" w:rsidRPr="0075481A" w:rsidRDefault="003501AD" w:rsidP="00131D13">
      <w:pPr>
        <w:keepNext/>
        <w:widowControl w:val="0"/>
        <w:spacing w:after="0" w:line="280" w:lineRule="exact"/>
        <w:jc w:val="both"/>
        <w:rPr>
          <w:rFonts w:ascii="Times New Roman" w:eastAsia="Times New Roman" w:hAnsi="Times New Roman" w:cs="Times New Roman"/>
          <w:b/>
        </w:rPr>
      </w:pPr>
    </w:p>
    <w:p w14:paraId="6656AF88" w14:textId="77777777" w:rsidR="00131D13" w:rsidRPr="0075481A" w:rsidRDefault="00131D13" w:rsidP="00131D13">
      <w:pPr>
        <w:keepNext/>
        <w:widowControl w:val="0"/>
        <w:spacing w:after="0" w:line="280" w:lineRule="exact"/>
        <w:jc w:val="both"/>
        <w:rPr>
          <w:rFonts w:ascii="Times New Roman" w:eastAsia="Times New Roman" w:hAnsi="Times New Roman" w:cs="Times New Roman"/>
          <w:b/>
        </w:rPr>
      </w:pPr>
      <w:r w:rsidRPr="0075481A">
        <w:rPr>
          <w:rFonts w:ascii="Times New Roman" w:eastAsia="Times New Roman" w:hAnsi="Times New Roman" w:cs="Times New Roman"/>
          <w:b/>
        </w:rPr>
        <w:t>Bilješka 4. Zalihe</w:t>
      </w:r>
    </w:p>
    <w:p w14:paraId="4DC668A4" w14:textId="77777777" w:rsidR="00F42FCB" w:rsidRPr="0075481A" w:rsidRDefault="00F42FCB" w:rsidP="00F42FCB">
      <w:pPr>
        <w:spacing w:after="0" w:line="276" w:lineRule="auto"/>
        <w:contextualSpacing/>
        <w:jc w:val="both"/>
        <w:rPr>
          <w:rFonts w:ascii="Times New Roman" w:eastAsia="Calibri" w:hAnsi="Times New Roman" w:cs="Times New Roman"/>
          <w:bCs/>
        </w:rPr>
      </w:pPr>
    </w:p>
    <w:p w14:paraId="0004B4F0" w14:textId="77777777" w:rsidR="003501AD" w:rsidRPr="0075481A" w:rsidRDefault="003501AD" w:rsidP="003501AD">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75481A">
        <w:rPr>
          <w:rFonts w:ascii="Times New Roman" w:eastAsia="Calibri" w:hAnsi="Times New Roman" w:cs="Times New Roman"/>
          <w:b/>
          <w:lang w:eastAsia="hr-HR"/>
        </w:rPr>
        <w:t>Zalihe</w:t>
      </w:r>
    </w:p>
    <w:p w14:paraId="4F9DFD5B" w14:textId="5E674740" w:rsidR="003501AD" w:rsidRPr="0075481A" w:rsidRDefault="003501AD" w:rsidP="003501AD">
      <w:pPr>
        <w:spacing w:after="0" w:line="276" w:lineRule="auto"/>
        <w:contextualSpacing/>
        <w:jc w:val="both"/>
        <w:rPr>
          <w:rFonts w:ascii="Times New Roman" w:eastAsia="Calibri" w:hAnsi="Times New Roman" w:cs="Times New Roman"/>
          <w:bCs/>
        </w:rPr>
      </w:pPr>
      <w:r w:rsidRPr="0075481A">
        <w:rPr>
          <w:rFonts w:ascii="Times New Roman" w:eastAsia="Calibri" w:hAnsi="Times New Roman" w:cs="Times New Roman"/>
          <w:bCs/>
        </w:rPr>
        <w:t xml:space="preserve">Na kraju 2023. godine kratkotrajna imovina iznosi 990.406,07 EUR, a odnosi se na zalihe, potraživanja i na novac u banci i blagajni. </w:t>
      </w:r>
    </w:p>
    <w:p w14:paraId="7B0D5F4D" w14:textId="77777777" w:rsidR="003501AD" w:rsidRPr="0075481A" w:rsidRDefault="003501AD" w:rsidP="003501AD">
      <w:pPr>
        <w:spacing w:after="0" w:line="276" w:lineRule="auto"/>
        <w:contextualSpacing/>
        <w:jc w:val="both"/>
        <w:rPr>
          <w:rFonts w:ascii="Times New Roman" w:eastAsia="Calibri" w:hAnsi="Times New Roman" w:cs="Times New Roman"/>
          <w:bCs/>
        </w:rPr>
      </w:pPr>
    </w:p>
    <w:p w14:paraId="4B0E1378" w14:textId="77777777" w:rsidR="003501AD" w:rsidRPr="0075481A" w:rsidRDefault="003501AD" w:rsidP="003501AD">
      <w:pPr>
        <w:spacing w:after="0" w:line="276" w:lineRule="auto"/>
        <w:contextualSpacing/>
        <w:jc w:val="both"/>
        <w:rPr>
          <w:rFonts w:ascii="Times New Roman" w:eastAsia="Calibri" w:hAnsi="Times New Roman" w:cs="Times New Roman"/>
          <w:bCs/>
        </w:rPr>
      </w:pPr>
      <w:r w:rsidRPr="0075481A">
        <w:rPr>
          <w:rFonts w:ascii="Times New Roman" w:eastAsia="Calibri" w:hAnsi="Times New Roman" w:cs="Times New Roman"/>
          <w:bCs/>
        </w:rPr>
        <w:t>U odnosu na posljednji dan prethodne godine bilježi smanjenje od 26%, a utjecaj na smanjenje kratkotrajne imovine imala je pozicija zaliha i novac.</w:t>
      </w:r>
    </w:p>
    <w:p w14:paraId="2E1E6994" w14:textId="77777777" w:rsidR="00A81432" w:rsidRDefault="00A81432" w:rsidP="003501AD">
      <w:pPr>
        <w:spacing w:after="0" w:line="276" w:lineRule="auto"/>
        <w:contextualSpacing/>
        <w:jc w:val="both"/>
        <w:rPr>
          <w:rFonts w:ascii="Times New Roman" w:eastAsia="Calibri" w:hAnsi="Times New Roman" w:cs="Times New Roman"/>
          <w:bCs/>
        </w:rPr>
      </w:pPr>
    </w:p>
    <w:p w14:paraId="5FC53046" w14:textId="77777777" w:rsidR="00A81432" w:rsidRDefault="00A81432" w:rsidP="003501AD">
      <w:pPr>
        <w:spacing w:after="0" w:line="276" w:lineRule="auto"/>
        <w:contextualSpacing/>
        <w:jc w:val="both"/>
        <w:rPr>
          <w:rFonts w:ascii="Times New Roman" w:eastAsia="Calibri" w:hAnsi="Times New Roman" w:cs="Times New Roman"/>
          <w:bCs/>
        </w:rPr>
      </w:pPr>
    </w:p>
    <w:p w14:paraId="2AD9E1A5" w14:textId="693C8C90" w:rsidR="00A81432" w:rsidRDefault="00A81432" w:rsidP="00A81432">
      <w:pPr>
        <w:spacing w:after="0" w:line="276" w:lineRule="auto"/>
        <w:contextualSpacing/>
        <w:jc w:val="right"/>
        <w:rPr>
          <w:rFonts w:ascii="Times New Roman" w:eastAsia="Calibri" w:hAnsi="Times New Roman" w:cs="Times New Roman"/>
          <w:bCs/>
        </w:rPr>
      </w:pPr>
      <w:r>
        <w:rPr>
          <w:rFonts w:ascii="Times New Roman" w:eastAsia="Calibri" w:hAnsi="Times New Roman" w:cs="Times New Roman"/>
          <w:bCs/>
        </w:rPr>
        <w:t>6</w:t>
      </w:r>
    </w:p>
    <w:p w14:paraId="03B24638" w14:textId="77777777" w:rsidR="00A81432" w:rsidRDefault="00A81432" w:rsidP="003501AD">
      <w:pPr>
        <w:spacing w:after="0" w:line="276" w:lineRule="auto"/>
        <w:contextualSpacing/>
        <w:jc w:val="both"/>
        <w:rPr>
          <w:rFonts w:ascii="Times New Roman" w:eastAsia="Calibri" w:hAnsi="Times New Roman" w:cs="Times New Roman"/>
          <w:bCs/>
        </w:rPr>
      </w:pPr>
    </w:p>
    <w:p w14:paraId="0847BCE5" w14:textId="7020E853" w:rsidR="003501AD" w:rsidRPr="0075481A" w:rsidRDefault="003501AD" w:rsidP="003501AD">
      <w:pPr>
        <w:spacing w:after="0" w:line="276" w:lineRule="auto"/>
        <w:contextualSpacing/>
        <w:jc w:val="both"/>
        <w:rPr>
          <w:rFonts w:ascii="Times New Roman" w:eastAsia="Calibri" w:hAnsi="Times New Roman" w:cs="Times New Roman"/>
          <w:bCs/>
        </w:rPr>
      </w:pPr>
      <w:r w:rsidRPr="0075481A">
        <w:rPr>
          <w:rFonts w:ascii="Times New Roman" w:eastAsia="Calibri" w:hAnsi="Times New Roman" w:cs="Times New Roman"/>
          <w:bCs/>
        </w:rPr>
        <w:t xml:space="preserve"> Društvo zalihe iskazuje po trošku nabave. Zalihe sitnog inventara otpisuju se jednokratno, dok  se utrošci istih rasterećuju metodom prosječno ponderirane nabavne cijene. Nadalje, zalihe prodane trgovačke robe Društvo iskazuje po prodajnim cijenama sa PDV-om i razlikom u cijeni, a prilikom prodaje iste trošak zaliha se utvrđuje putem razlike prodajne cijene, PDV-a i uključene razlike u cijeni.</w:t>
      </w:r>
    </w:p>
    <w:p w14:paraId="4326608D" w14:textId="77777777" w:rsidR="003501AD" w:rsidRPr="0075481A" w:rsidRDefault="003501AD" w:rsidP="003501AD">
      <w:pPr>
        <w:spacing w:after="0" w:line="276" w:lineRule="auto"/>
        <w:contextualSpacing/>
        <w:jc w:val="both"/>
        <w:rPr>
          <w:rFonts w:ascii="Times New Roman" w:eastAsia="Calibri" w:hAnsi="Times New Roman" w:cs="Times New Roman"/>
          <w:bCs/>
        </w:rPr>
      </w:pPr>
    </w:p>
    <w:p w14:paraId="3252E661" w14:textId="22F15CD1" w:rsidR="003501AD" w:rsidRPr="0075481A" w:rsidRDefault="003501AD" w:rsidP="003501AD">
      <w:pPr>
        <w:spacing w:after="0" w:line="276" w:lineRule="auto"/>
        <w:contextualSpacing/>
        <w:jc w:val="both"/>
        <w:rPr>
          <w:rFonts w:ascii="Times New Roman" w:eastAsia="Calibri" w:hAnsi="Times New Roman" w:cs="Times New Roman"/>
          <w:bCs/>
        </w:rPr>
      </w:pPr>
      <w:r w:rsidRPr="0075481A">
        <w:rPr>
          <w:rFonts w:ascii="Times New Roman" w:eastAsia="Calibri" w:hAnsi="Times New Roman" w:cs="Times New Roman"/>
          <w:bCs/>
        </w:rPr>
        <w:t>Na dan 31.12.2023. godine struktura zaliha (526.944,68 EUR) je bila sljedeća:</w:t>
      </w:r>
    </w:p>
    <w:p w14:paraId="315CD2F5" w14:textId="77777777" w:rsidR="003501AD" w:rsidRPr="0075481A" w:rsidRDefault="003501AD" w:rsidP="003501AD">
      <w:pPr>
        <w:spacing w:after="0" w:line="276" w:lineRule="auto"/>
        <w:contextualSpacing/>
        <w:jc w:val="both"/>
        <w:rPr>
          <w:rFonts w:ascii="Times New Roman" w:eastAsia="Calibri" w:hAnsi="Times New Roman" w:cs="Times New Roman"/>
          <w:bCs/>
        </w:rPr>
      </w:pPr>
    </w:p>
    <w:tbl>
      <w:tblPr>
        <w:tblW w:w="4453" w:type="pct"/>
        <w:jc w:val="center"/>
        <w:tblLook w:val="04A0" w:firstRow="1" w:lastRow="0" w:firstColumn="1" w:lastColumn="0" w:noHBand="0" w:noVBand="1"/>
      </w:tblPr>
      <w:tblGrid>
        <w:gridCol w:w="6196"/>
        <w:gridCol w:w="1884"/>
      </w:tblGrid>
      <w:tr w:rsidR="003501AD" w:rsidRPr="0075481A" w14:paraId="5EFB9F7A" w14:textId="77777777" w:rsidTr="00F8743D">
        <w:trPr>
          <w:trHeight w:val="315"/>
          <w:jc w:val="center"/>
        </w:trPr>
        <w:tc>
          <w:tcPr>
            <w:tcW w:w="3834" w:type="pct"/>
            <w:tcBorders>
              <w:top w:val="nil"/>
              <w:left w:val="nil"/>
              <w:bottom w:val="nil"/>
              <w:right w:val="single" w:sz="12" w:space="0" w:color="FFFFFF"/>
            </w:tcBorders>
            <w:shd w:val="clear" w:color="auto" w:fill="F2F2F2"/>
            <w:vAlign w:val="center"/>
          </w:tcPr>
          <w:p w14:paraId="5115D1ED" w14:textId="77777777" w:rsidR="003501AD" w:rsidRPr="0075481A" w:rsidRDefault="003501AD" w:rsidP="003501AD">
            <w:pPr>
              <w:spacing w:after="0" w:line="240" w:lineRule="auto"/>
              <w:rPr>
                <w:rFonts w:ascii="Times New Roman" w:eastAsia="Times New Roman" w:hAnsi="Times New Roman" w:cs="Times New Roman"/>
                <w:lang w:eastAsia="hr-HR"/>
              </w:rPr>
            </w:pPr>
            <w:r w:rsidRPr="0075481A">
              <w:rPr>
                <w:rFonts w:ascii="Times New Roman" w:eastAsia="Times New Roman" w:hAnsi="Times New Roman" w:cs="Times New Roman"/>
                <w:lang w:eastAsia="hr-HR"/>
              </w:rPr>
              <w:t>Sirovine i materijal u skladištu (pogrebna oprema i Radiona vijenaca)</w:t>
            </w:r>
          </w:p>
        </w:tc>
        <w:tc>
          <w:tcPr>
            <w:tcW w:w="1166" w:type="pct"/>
          </w:tcPr>
          <w:p w14:paraId="4D235188" w14:textId="208282A3" w:rsidR="003501AD" w:rsidRPr="0075481A" w:rsidRDefault="003501AD" w:rsidP="003501AD">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51.546,18</w:t>
            </w:r>
          </w:p>
        </w:tc>
      </w:tr>
      <w:tr w:rsidR="003501AD" w:rsidRPr="0075481A" w14:paraId="6A95151B" w14:textId="77777777" w:rsidTr="00F8743D">
        <w:trPr>
          <w:trHeight w:val="315"/>
          <w:jc w:val="center"/>
        </w:trPr>
        <w:tc>
          <w:tcPr>
            <w:tcW w:w="3834" w:type="pct"/>
            <w:tcBorders>
              <w:top w:val="nil"/>
              <w:left w:val="nil"/>
              <w:bottom w:val="nil"/>
              <w:right w:val="single" w:sz="12" w:space="0" w:color="FFFFFF"/>
            </w:tcBorders>
            <w:shd w:val="clear" w:color="auto" w:fill="auto"/>
            <w:vAlign w:val="center"/>
          </w:tcPr>
          <w:p w14:paraId="7621F9B0" w14:textId="77777777" w:rsidR="003501AD" w:rsidRPr="0075481A" w:rsidRDefault="003501AD" w:rsidP="003501AD">
            <w:pPr>
              <w:spacing w:after="0" w:line="240" w:lineRule="auto"/>
              <w:rPr>
                <w:rFonts w:ascii="Times New Roman" w:eastAsia="Times New Roman" w:hAnsi="Times New Roman" w:cs="Times New Roman"/>
                <w:lang w:eastAsia="hr-HR"/>
              </w:rPr>
            </w:pPr>
            <w:r w:rsidRPr="0075481A">
              <w:rPr>
                <w:rFonts w:ascii="Times New Roman" w:eastAsia="Times New Roman" w:hAnsi="Times New Roman" w:cs="Times New Roman"/>
                <w:lang w:eastAsia="hr-HR"/>
              </w:rPr>
              <w:t>Sitan inventar u upotrebi</w:t>
            </w:r>
          </w:p>
        </w:tc>
        <w:tc>
          <w:tcPr>
            <w:tcW w:w="1166" w:type="pct"/>
          </w:tcPr>
          <w:p w14:paraId="1074C422" w14:textId="4285061B" w:rsidR="003501AD" w:rsidRPr="0075481A" w:rsidRDefault="003501AD" w:rsidP="002D0286">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87.1</w:t>
            </w:r>
            <w:r w:rsidR="002D0286" w:rsidRPr="0075481A">
              <w:rPr>
                <w:rFonts w:ascii="Times New Roman" w:eastAsia="Calibri" w:hAnsi="Times New Roman" w:cs="Times New Roman"/>
              </w:rPr>
              <w:t>79,90</w:t>
            </w:r>
          </w:p>
        </w:tc>
      </w:tr>
      <w:tr w:rsidR="003501AD" w:rsidRPr="0075481A" w14:paraId="4758D467" w14:textId="77777777" w:rsidTr="00F8743D">
        <w:trPr>
          <w:trHeight w:val="300"/>
          <w:jc w:val="center"/>
        </w:trPr>
        <w:tc>
          <w:tcPr>
            <w:tcW w:w="3834" w:type="pct"/>
            <w:tcBorders>
              <w:top w:val="nil"/>
              <w:left w:val="nil"/>
              <w:bottom w:val="nil"/>
              <w:right w:val="single" w:sz="12" w:space="0" w:color="FFFFFF"/>
            </w:tcBorders>
            <w:shd w:val="clear" w:color="auto" w:fill="F2F2F2"/>
            <w:vAlign w:val="center"/>
          </w:tcPr>
          <w:p w14:paraId="745794F5" w14:textId="77777777" w:rsidR="003501AD" w:rsidRPr="0075481A" w:rsidRDefault="003501AD" w:rsidP="003501AD">
            <w:pPr>
              <w:spacing w:after="0" w:line="240" w:lineRule="auto"/>
              <w:rPr>
                <w:rFonts w:ascii="Times New Roman" w:eastAsia="Times New Roman" w:hAnsi="Times New Roman" w:cs="Times New Roman"/>
                <w:lang w:eastAsia="hr-HR"/>
              </w:rPr>
            </w:pPr>
            <w:r w:rsidRPr="0075481A">
              <w:rPr>
                <w:rFonts w:ascii="Times New Roman" w:eastAsia="Times New Roman" w:hAnsi="Times New Roman" w:cs="Times New Roman"/>
                <w:lang w:eastAsia="hr-HR"/>
              </w:rPr>
              <w:t>Ispravak vrijednosti sitnog inventara</w:t>
            </w:r>
          </w:p>
        </w:tc>
        <w:tc>
          <w:tcPr>
            <w:tcW w:w="1166" w:type="pct"/>
          </w:tcPr>
          <w:p w14:paraId="5EFA6746" w14:textId="16508954" w:rsidR="003501AD" w:rsidRPr="0075481A" w:rsidRDefault="003501AD" w:rsidP="002D0286">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(87.1</w:t>
            </w:r>
            <w:r w:rsidR="002D0286" w:rsidRPr="0075481A">
              <w:rPr>
                <w:rFonts w:ascii="Times New Roman" w:eastAsia="Calibri" w:hAnsi="Times New Roman" w:cs="Times New Roman"/>
              </w:rPr>
              <w:t>79,90</w:t>
            </w:r>
            <w:r w:rsidRPr="0075481A">
              <w:rPr>
                <w:rFonts w:ascii="Times New Roman" w:eastAsia="Calibri" w:hAnsi="Times New Roman" w:cs="Times New Roman"/>
              </w:rPr>
              <w:t>)</w:t>
            </w:r>
          </w:p>
        </w:tc>
      </w:tr>
      <w:tr w:rsidR="003501AD" w:rsidRPr="0075481A" w14:paraId="0BB1C005" w14:textId="77777777" w:rsidTr="00F8743D">
        <w:trPr>
          <w:trHeight w:val="315"/>
          <w:jc w:val="center"/>
        </w:trPr>
        <w:tc>
          <w:tcPr>
            <w:tcW w:w="3834" w:type="pct"/>
            <w:tcBorders>
              <w:top w:val="nil"/>
              <w:left w:val="nil"/>
              <w:bottom w:val="nil"/>
              <w:right w:val="single" w:sz="12" w:space="0" w:color="FFFFFF"/>
            </w:tcBorders>
            <w:shd w:val="clear" w:color="auto" w:fill="auto"/>
            <w:vAlign w:val="center"/>
          </w:tcPr>
          <w:p w14:paraId="35D94371" w14:textId="77777777" w:rsidR="003501AD" w:rsidRPr="0075481A" w:rsidRDefault="003501AD" w:rsidP="003501AD">
            <w:pPr>
              <w:spacing w:after="0" w:line="240" w:lineRule="auto"/>
              <w:rPr>
                <w:rFonts w:ascii="Times New Roman" w:eastAsia="Times New Roman" w:hAnsi="Times New Roman" w:cs="Times New Roman"/>
                <w:lang w:eastAsia="hr-HR"/>
              </w:rPr>
            </w:pPr>
            <w:r w:rsidRPr="0075481A">
              <w:rPr>
                <w:rFonts w:ascii="Times New Roman" w:eastAsia="Times New Roman" w:hAnsi="Times New Roman" w:cs="Times New Roman"/>
                <w:lang w:eastAsia="hr-HR"/>
              </w:rPr>
              <w:t xml:space="preserve">Grobna mjesta </w:t>
            </w:r>
          </w:p>
        </w:tc>
        <w:tc>
          <w:tcPr>
            <w:tcW w:w="1166" w:type="pct"/>
          </w:tcPr>
          <w:p w14:paraId="6AFD1F96" w14:textId="47A3F8D0" w:rsidR="003501AD" w:rsidRPr="0075481A" w:rsidRDefault="003501AD" w:rsidP="002D0286">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660.7</w:t>
            </w:r>
            <w:r w:rsidR="002D0286" w:rsidRPr="0075481A">
              <w:rPr>
                <w:rFonts w:ascii="Times New Roman" w:eastAsia="Calibri" w:hAnsi="Times New Roman" w:cs="Times New Roman"/>
              </w:rPr>
              <w:t>59,72</w:t>
            </w:r>
          </w:p>
        </w:tc>
      </w:tr>
      <w:tr w:rsidR="003501AD" w:rsidRPr="0075481A" w14:paraId="61598A24" w14:textId="77777777" w:rsidTr="00F8743D">
        <w:trPr>
          <w:trHeight w:val="300"/>
          <w:jc w:val="center"/>
        </w:trPr>
        <w:tc>
          <w:tcPr>
            <w:tcW w:w="3834" w:type="pct"/>
            <w:tcBorders>
              <w:top w:val="nil"/>
              <w:left w:val="nil"/>
              <w:bottom w:val="nil"/>
              <w:right w:val="single" w:sz="12" w:space="0" w:color="FFFFFF"/>
            </w:tcBorders>
            <w:shd w:val="clear" w:color="auto" w:fill="F2F2F2"/>
            <w:vAlign w:val="center"/>
          </w:tcPr>
          <w:p w14:paraId="3D20437A" w14:textId="77777777" w:rsidR="003501AD" w:rsidRPr="0075481A" w:rsidRDefault="003501AD" w:rsidP="003501AD">
            <w:pPr>
              <w:spacing w:after="0" w:line="240" w:lineRule="auto"/>
              <w:rPr>
                <w:rFonts w:ascii="Times New Roman" w:eastAsia="Times New Roman" w:hAnsi="Times New Roman" w:cs="Times New Roman"/>
                <w:lang w:eastAsia="hr-HR"/>
              </w:rPr>
            </w:pPr>
            <w:r w:rsidRPr="0075481A">
              <w:rPr>
                <w:rFonts w:ascii="Times New Roman" w:eastAsia="Times New Roman" w:hAnsi="Times New Roman" w:cs="Times New Roman"/>
                <w:lang w:eastAsia="hr-HR"/>
              </w:rPr>
              <w:t>Ukalkulirana razlika u cijeni robe (grobna mjesta)</w:t>
            </w:r>
          </w:p>
        </w:tc>
        <w:tc>
          <w:tcPr>
            <w:tcW w:w="1166" w:type="pct"/>
          </w:tcPr>
          <w:p w14:paraId="19C979FC" w14:textId="5B9C0856" w:rsidR="003501AD" w:rsidRPr="0075481A" w:rsidRDefault="003501AD" w:rsidP="002D0286">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(197.34</w:t>
            </w:r>
            <w:r w:rsidR="002D0286" w:rsidRPr="0075481A">
              <w:rPr>
                <w:rFonts w:ascii="Times New Roman" w:eastAsia="Calibri" w:hAnsi="Times New Roman" w:cs="Times New Roman"/>
              </w:rPr>
              <w:t>8,52</w:t>
            </w:r>
            <w:r w:rsidRPr="0075481A">
              <w:rPr>
                <w:rFonts w:ascii="Times New Roman" w:eastAsia="Calibri" w:hAnsi="Times New Roman" w:cs="Times New Roman"/>
              </w:rPr>
              <w:t>)</w:t>
            </w:r>
          </w:p>
        </w:tc>
      </w:tr>
      <w:tr w:rsidR="003501AD" w:rsidRPr="0075481A" w14:paraId="1818F93B" w14:textId="77777777" w:rsidTr="00F8743D">
        <w:trPr>
          <w:trHeight w:val="300"/>
          <w:jc w:val="center"/>
        </w:trPr>
        <w:tc>
          <w:tcPr>
            <w:tcW w:w="3834" w:type="pct"/>
            <w:tcBorders>
              <w:top w:val="nil"/>
              <w:left w:val="nil"/>
              <w:bottom w:val="nil"/>
              <w:right w:val="single" w:sz="12" w:space="0" w:color="FFFFFF"/>
            </w:tcBorders>
            <w:shd w:val="clear" w:color="auto" w:fill="auto"/>
            <w:vAlign w:val="center"/>
          </w:tcPr>
          <w:p w14:paraId="43157FDD" w14:textId="77777777" w:rsidR="003501AD" w:rsidRPr="0075481A" w:rsidRDefault="003501AD" w:rsidP="003501AD">
            <w:pPr>
              <w:spacing w:after="0" w:line="240" w:lineRule="auto"/>
              <w:ind w:left="-142" w:firstLine="142"/>
              <w:rPr>
                <w:rFonts w:ascii="Times New Roman" w:eastAsia="Times New Roman" w:hAnsi="Times New Roman" w:cs="Times New Roman"/>
                <w:lang w:eastAsia="hr-HR"/>
              </w:rPr>
            </w:pPr>
            <w:r w:rsidRPr="0075481A">
              <w:rPr>
                <w:rFonts w:ascii="Times New Roman" w:eastAsia="Times New Roman" w:hAnsi="Times New Roman" w:cs="Times New Roman"/>
                <w:lang w:eastAsia="hr-HR"/>
              </w:rPr>
              <w:t xml:space="preserve">Roba u prodavaonici </w:t>
            </w:r>
            <w:proofErr w:type="spellStart"/>
            <w:r w:rsidRPr="0075481A">
              <w:rPr>
                <w:rFonts w:ascii="Times New Roman" w:eastAsia="Times New Roman" w:hAnsi="Times New Roman" w:cs="Times New Roman"/>
                <w:lang w:eastAsia="hr-HR"/>
              </w:rPr>
              <w:t>Dalia</w:t>
            </w:r>
            <w:proofErr w:type="spellEnd"/>
            <w:r w:rsidRPr="0075481A">
              <w:rPr>
                <w:rFonts w:ascii="Times New Roman" w:eastAsia="Times New Roman" w:hAnsi="Times New Roman" w:cs="Times New Roman"/>
                <w:lang w:eastAsia="hr-HR"/>
              </w:rPr>
              <w:t xml:space="preserve">  (trgovina)</w:t>
            </w:r>
          </w:p>
        </w:tc>
        <w:tc>
          <w:tcPr>
            <w:tcW w:w="1166" w:type="pct"/>
          </w:tcPr>
          <w:p w14:paraId="2AD713A2" w14:textId="5C9CEB67" w:rsidR="003501AD" w:rsidRPr="0075481A" w:rsidRDefault="003501AD" w:rsidP="003501AD">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27.004</w:t>
            </w:r>
            <w:r w:rsidR="002D0286" w:rsidRPr="0075481A">
              <w:rPr>
                <w:rFonts w:ascii="Times New Roman" w:eastAsia="Calibri" w:hAnsi="Times New Roman" w:cs="Times New Roman"/>
              </w:rPr>
              <w:t>,19</w:t>
            </w:r>
          </w:p>
        </w:tc>
      </w:tr>
      <w:tr w:rsidR="003501AD" w:rsidRPr="0075481A" w14:paraId="030732ED" w14:textId="77777777" w:rsidTr="00F8743D">
        <w:trPr>
          <w:trHeight w:val="300"/>
          <w:jc w:val="center"/>
        </w:trPr>
        <w:tc>
          <w:tcPr>
            <w:tcW w:w="3834" w:type="pct"/>
            <w:tcBorders>
              <w:top w:val="nil"/>
              <w:left w:val="nil"/>
              <w:bottom w:val="nil"/>
              <w:right w:val="single" w:sz="12" w:space="0" w:color="FFFFFF"/>
            </w:tcBorders>
            <w:shd w:val="clear" w:color="auto" w:fill="F2F2F2"/>
            <w:vAlign w:val="center"/>
          </w:tcPr>
          <w:p w14:paraId="111E1BF0" w14:textId="77777777" w:rsidR="003501AD" w:rsidRPr="0075481A" w:rsidRDefault="003501AD" w:rsidP="003501AD">
            <w:pPr>
              <w:spacing w:after="0" w:line="240" w:lineRule="auto"/>
              <w:rPr>
                <w:rFonts w:ascii="Times New Roman" w:eastAsia="Times New Roman" w:hAnsi="Times New Roman" w:cs="Times New Roman"/>
                <w:lang w:eastAsia="hr-HR"/>
              </w:rPr>
            </w:pPr>
            <w:r w:rsidRPr="0075481A">
              <w:rPr>
                <w:rFonts w:ascii="Times New Roman" w:eastAsia="Times New Roman" w:hAnsi="Times New Roman" w:cs="Times New Roman"/>
                <w:lang w:eastAsia="hr-HR"/>
              </w:rPr>
              <w:t>Ukalkulirana razlika u cijeni robe u trgovini</w:t>
            </w:r>
          </w:p>
        </w:tc>
        <w:tc>
          <w:tcPr>
            <w:tcW w:w="1166" w:type="pct"/>
          </w:tcPr>
          <w:p w14:paraId="4B226EF3" w14:textId="0BF8A349" w:rsidR="003501AD" w:rsidRPr="0075481A" w:rsidRDefault="003501AD" w:rsidP="003501AD">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(9.758</w:t>
            </w:r>
            <w:r w:rsidR="002D0286" w:rsidRPr="0075481A">
              <w:rPr>
                <w:rFonts w:ascii="Times New Roman" w:eastAsia="Calibri" w:hAnsi="Times New Roman" w:cs="Times New Roman"/>
              </w:rPr>
              <w:t>,66</w:t>
            </w:r>
            <w:r w:rsidRPr="0075481A">
              <w:rPr>
                <w:rFonts w:ascii="Times New Roman" w:eastAsia="Calibri" w:hAnsi="Times New Roman" w:cs="Times New Roman"/>
              </w:rPr>
              <w:t>)</w:t>
            </w:r>
          </w:p>
        </w:tc>
      </w:tr>
      <w:tr w:rsidR="003501AD" w:rsidRPr="0075481A" w14:paraId="1CD4D1BA" w14:textId="77777777" w:rsidTr="00F8743D">
        <w:trPr>
          <w:trHeight w:val="228"/>
          <w:jc w:val="center"/>
        </w:trPr>
        <w:tc>
          <w:tcPr>
            <w:tcW w:w="3834" w:type="pct"/>
            <w:tcBorders>
              <w:top w:val="nil"/>
              <w:left w:val="nil"/>
              <w:bottom w:val="nil"/>
              <w:right w:val="single" w:sz="12" w:space="0" w:color="FFFFFF"/>
            </w:tcBorders>
            <w:shd w:val="clear" w:color="auto" w:fill="auto"/>
            <w:vAlign w:val="center"/>
          </w:tcPr>
          <w:p w14:paraId="46396EFC" w14:textId="77777777" w:rsidR="003501AD" w:rsidRPr="0075481A" w:rsidRDefault="003501AD" w:rsidP="003501AD">
            <w:pPr>
              <w:spacing w:after="0" w:line="240" w:lineRule="auto"/>
              <w:rPr>
                <w:rFonts w:ascii="Times New Roman" w:eastAsia="Times New Roman" w:hAnsi="Times New Roman" w:cs="Times New Roman"/>
                <w:lang w:eastAsia="hr-HR"/>
              </w:rPr>
            </w:pPr>
            <w:r w:rsidRPr="0075481A">
              <w:rPr>
                <w:rFonts w:ascii="Times New Roman" w:eastAsia="Times New Roman" w:hAnsi="Times New Roman" w:cs="Times New Roman"/>
                <w:lang w:eastAsia="hr-HR"/>
              </w:rPr>
              <w:t>Ukalkulirani porez na dodanu vrijednost</w:t>
            </w:r>
          </w:p>
        </w:tc>
        <w:tc>
          <w:tcPr>
            <w:tcW w:w="1166" w:type="pct"/>
          </w:tcPr>
          <w:p w14:paraId="24639EEE" w14:textId="0AFFBDFD" w:rsidR="003501AD" w:rsidRPr="0075481A" w:rsidRDefault="003501AD" w:rsidP="003501AD">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(5.258</w:t>
            </w:r>
            <w:r w:rsidR="002D0286" w:rsidRPr="0075481A">
              <w:rPr>
                <w:rFonts w:ascii="Times New Roman" w:eastAsia="Calibri" w:hAnsi="Times New Roman" w:cs="Times New Roman"/>
              </w:rPr>
              <w:t>,23</w:t>
            </w:r>
            <w:r w:rsidRPr="0075481A">
              <w:rPr>
                <w:rFonts w:ascii="Times New Roman" w:eastAsia="Calibri" w:hAnsi="Times New Roman" w:cs="Times New Roman"/>
              </w:rPr>
              <w:t>)</w:t>
            </w:r>
          </w:p>
        </w:tc>
      </w:tr>
      <w:tr w:rsidR="003501AD" w:rsidRPr="0075481A" w14:paraId="3D123499" w14:textId="77777777" w:rsidTr="00F8743D">
        <w:trPr>
          <w:trHeight w:val="368"/>
          <w:jc w:val="center"/>
        </w:trPr>
        <w:tc>
          <w:tcPr>
            <w:tcW w:w="3834" w:type="pct"/>
            <w:tcBorders>
              <w:top w:val="nil"/>
              <w:left w:val="nil"/>
              <w:bottom w:val="nil"/>
              <w:right w:val="single" w:sz="12" w:space="0" w:color="FFFFFF"/>
            </w:tcBorders>
            <w:shd w:val="clear" w:color="000000" w:fill="F2F2F2"/>
            <w:vAlign w:val="center"/>
          </w:tcPr>
          <w:p w14:paraId="2B7E8811" w14:textId="77777777" w:rsidR="003501AD" w:rsidRPr="0075481A" w:rsidRDefault="003501AD" w:rsidP="003501AD">
            <w:pPr>
              <w:spacing w:after="0" w:line="240" w:lineRule="auto"/>
              <w:rPr>
                <w:rFonts w:ascii="Times New Roman" w:eastAsia="Times New Roman" w:hAnsi="Times New Roman" w:cs="Times New Roman"/>
                <w:b/>
                <w:bCs/>
                <w:lang w:eastAsia="hr-HR"/>
              </w:rPr>
            </w:pPr>
            <w:r w:rsidRPr="0075481A">
              <w:rPr>
                <w:rFonts w:ascii="Times New Roman" w:eastAsia="Times New Roman" w:hAnsi="Times New Roman" w:cs="Times New Roman"/>
                <w:b/>
                <w:bCs/>
                <w:lang w:eastAsia="hr-HR"/>
              </w:rPr>
              <w:t>UKUPNO / EUR</w:t>
            </w:r>
          </w:p>
        </w:tc>
        <w:tc>
          <w:tcPr>
            <w:tcW w:w="1166" w:type="pct"/>
            <w:tcBorders>
              <w:top w:val="nil"/>
              <w:left w:val="nil"/>
              <w:bottom w:val="nil"/>
              <w:right w:val="nil"/>
            </w:tcBorders>
            <w:shd w:val="clear" w:color="000000" w:fill="F2F2F2"/>
            <w:vAlign w:val="center"/>
          </w:tcPr>
          <w:p w14:paraId="3036B032" w14:textId="76CA56FC" w:rsidR="003501AD" w:rsidRPr="0075481A" w:rsidRDefault="003501AD" w:rsidP="002D0286">
            <w:pPr>
              <w:spacing w:after="0" w:line="240" w:lineRule="auto"/>
              <w:jc w:val="center"/>
              <w:rPr>
                <w:rFonts w:ascii="Times New Roman" w:eastAsia="Times New Roman" w:hAnsi="Times New Roman" w:cs="Times New Roman"/>
                <w:b/>
                <w:bCs/>
                <w:lang w:eastAsia="hr-HR"/>
              </w:rPr>
            </w:pPr>
            <w:r w:rsidRPr="0075481A">
              <w:rPr>
                <w:rFonts w:ascii="Times New Roman" w:eastAsia="Times New Roman" w:hAnsi="Times New Roman" w:cs="Times New Roman"/>
                <w:b/>
                <w:bCs/>
                <w:lang w:eastAsia="hr-HR"/>
              </w:rPr>
              <w:t>526.94</w:t>
            </w:r>
            <w:r w:rsidR="002D0286" w:rsidRPr="0075481A">
              <w:rPr>
                <w:rFonts w:ascii="Times New Roman" w:eastAsia="Times New Roman" w:hAnsi="Times New Roman" w:cs="Times New Roman"/>
                <w:b/>
                <w:bCs/>
                <w:lang w:eastAsia="hr-HR"/>
              </w:rPr>
              <w:t>4,68</w:t>
            </w:r>
            <w:r w:rsidRPr="0075481A">
              <w:rPr>
                <w:rFonts w:ascii="Times New Roman" w:eastAsia="Times New Roman" w:hAnsi="Times New Roman" w:cs="Times New Roman"/>
                <w:b/>
                <w:bCs/>
                <w:lang w:eastAsia="hr-HR"/>
              </w:rPr>
              <w:t xml:space="preserve"> EUR </w:t>
            </w:r>
          </w:p>
        </w:tc>
      </w:tr>
    </w:tbl>
    <w:p w14:paraId="7E78A187" w14:textId="77777777" w:rsidR="003501AD" w:rsidRPr="0075481A" w:rsidRDefault="003501AD" w:rsidP="003501AD">
      <w:pPr>
        <w:tabs>
          <w:tab w:val="right" w:pos="5103"/>
        </w:tabs>
        <w:suppressAutoHyphens/>
        <w:autoSpaceDN w:val="0"/>
        <w:spacing w:after="0" w:line="276" w:lineRule="auto"/>
        <w:jc w:val="both"/>
        <w:textAlignment w:val="baseline"/>
        <w:rPr>
          <w:rFonts w:ascii="Times New Roman" w:eastAsia="Calibri" w:hAnsi="Times New Roman" w:cs="Times New Roman"/>
          <w:color w:val="FF0000"/>
          <w:lang w:eastAsia="hr-HR"/>
        </w:rPr>
      </w:pPr>
    </w:p>
    <w:p w14:paraId="69792F65" w14:textId="77777777" w:rsidR="00131D13" w:rsidRPr="0075481A" w:rsidRDefault="00131D13" w:rsidP="00131D13">
      <w:pPr>
        <w:spacing w:after="0" w:line="240" w:lineRule="auto"/>
        <w:jc w:val="both"/>
        <w:rPr>
          <w:rFonts w:ascii="Times New Roman" w:eastAsia="Times New Roman" w:hAnsi="Times New Roman" w:cs="Times New Roman"/>
          <w:b/>
        </w:rPr>
      </w:pPr>
      <w:r w:rsidRPr="0075481A">
        <w:rPr>
          <w:rFonts w:ascii="Times New Roman" w:eastAsia="Times New Roman" w:hAnsi="Times New Roman" w:cs="Times New Roman"/>
          <w:b/>
        </w:rPr>
        <w:t>Bilješka 5. Potraživanja</w:t>
      </w:r>
    </w:p>
    <w:p w14:paraId="691C28A1" w14:textId="77777777" w:rsidR="00552C89" w:rsidRPr="0075481A" w:rsidRDefault="00552C89" w:rsidP="00552C89">
      <w:pPr>
        <w:spacing w:after="0" w:line="276" w:lineRule="auto"/>
        <w:contextualSpacing/>
        <w:jc w:val="both"/>
        <w:rPr>
          <w:rFonts w:ascii="Times New Roman" w:eastAsia="Calibri" w:hAnsi="Times New Roman" w:cs="Times New Roman"/>
          <w:bCs/>
          <w:color w:val="FF0000"/>
        </w:rPr>
      </w:pPr>
    </w:p>
    <w:p w14:paraId="5A78B274" w14:textId="77777777" w:rsidR="0078665F" w:rsidRPr="0075481A" w:rsidRDefault="0078665F" w:rsidP="0078665F">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r w:rsidRPr="0075481A">
        <w:rPr>
          <w:rFonts w:ascii="Times New Roman" w:eastAsia="Calibri" w:hAnsi="Times New Roman" w:cs="Times New Roman"/>
          <w:b/>
          <w:lang w:eastAsia="hr-HR"/>
        </w:rPr>
        <w:t>Potraživanja</w:t>
      </w:r>
    </w:p>
    <w:p w14:paraId="4CA6F620" w14:textId="38CC777C" w:rsidR="00F43F97" w:rsidRPr="0075481A" w:rsidRDefault="00F43F97" w:rsidP="00F43F97">
      <w:pPr>
        <w:tabs>
          <w:tab w:val="right" w:pos="5103"/>
        </w:tabs>
        <w:suppressAutoHyphens/>
        <w:autoSpaceDN w:val="0"/>
        <w:spacing w:after="0" w:line="276" w:lineRule="auto"/>
        <w:jc w:val="both"/>
        <w:textAlignment w:val="baseline"/>
        <w:rPr>
          <w:rFonts w:ascii="Times New Roman" w:eastAsia="Calibri" w:hAnsi="Times New Roman" w:cs="Times New Roman"/>
          <w:bCs/>
          <w:color w:val="000000"/>
          <w:kern w:val="3"/>
          <w:lang w:eastAsia="hr-HR"/>
        </w:rPr>
      </w:pPr>
      <w:r w:rsidRPr="0075481A">
        <w:rPr>
          <w:rFonts w:ascii="Times New Roman" w:eastAsia="Calibri" w:hAnsi="Times New Roman" w:cs="Times New Roman"/>
          <w:bCs/>
          <w:color w:val="000000"/>
          <w:kern w:val="3"/>
          <w:lang w:eastAsia="hr-HR"/>
        </w:rPr>
        <w:t>Potraživanja su na 31.12.2023. godine iznosila 138.523,68 EUR što u odnosu na prethodnu godinu predstavlja povećanje od 41% kao rezultat povećanja potraživanja od kupaca, države i drugih institucija.</w:t>
      </w:r>
    </w:p>
    <w:p w14:paraId="3C3CFD05" w14:textId="77777777" w:rsidR="00F43F97" w:rsidRPr="0075481A" w:rsidRDefault="00F43F97" w:rsidP="00F43F97">
      <w:pPr>
        <w:tabs>
          <w:tab w:val="right" w:pos="5103"/>
        </w:tabs>
        <w:suppressAutoHyphens/>
        <w:autoSpaceDN w:val="0"/>
        <w:spacing w:after="0" w:line="276" w:lineRule="auto"/>
        <w:jc w:val="both"/>
        <w:textAlignment w:val="baseline"/>
        <w:rPr>
          <w:rFonts w:ascii="Times New Roman" w:eastAsia="Calibri" w:hAnsi="Times New Roman" w:cs="Times New Roman"/>
          <w:bCs/>
          <w:color w:val="000000"/>
          <w:kern w:val="3"/>
          <w:lang w:eastAsia="hr-HR"/>
        </w:rPr>
      </w:pPr>
    </w:p>
    <w:p w14:paraId="68738D1F" w14:textId="77777777" w:rsidR="00F43F97" w:rsidRPr="0075481A" w:rsidRDefault="00F43F97" w:rsidP="00F43F97">
      <w:pPr>
        <w:spacing w:after="0" w:line="276" w:lineRule="auto"/>
        <w:contextualSpacing/>
        <w:jc w:val="center"/>
        <w:rPr>
          <w:rFonts w:ascii="Times New Roman" w:eastAsia="Calibri" w:hAnsi="Times New Roman" w:cs="Times New Roman"/>
          <w:i/>
        </w:rPr>
      </w:pPr>
      <w:r w:rsidRPr="0075481A">
        <w:rPr>
          <w:rFonts w:ascii="Times New Roman" w:eastAsia="Calibri" w:hAnsi="Times New Roman" w:cs="Times New Roman"/>
          <w:i/>
        </w:rPr>
        <w:t>Struktura potraživanja od kupaca na 31.12.2023.</w:t>
      </w: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4415"/>
        <w:gridCol w:w="1828"/>
        <w:gridCol w:w="1549"/>
        <w:gridCol w:w="1034"/>
      </w:tblGrid>
      <w:tr w:rsidR="00F43F97" w:rsidRPr="0075481A" w14:paraId="21A8C57A" w14:textId="77777777" w:rsidTr="00941C67">
        <w:trPr>
          <w:trHeight w:val="340"/>
          <w:jc w:val="center"/>
        </w:trPr>
        <w:tc>
          <w:tcPr>
            <w:tcW w:w="4415" w:type="dxa"/>
            <w:shd w:val="clear" w:color="auto" w:fill="F2F2F2"/>
            <w:vAlign w:val="center"/>
          </w:tcPr>
          <w:p w14:paraId="0FDBDAD1" w14:textId="77777777" w:rsidR="00F43F97" w:rsidRPr="0075481A" w:rsidRDefault="00F43F97" w:rsidP="00F43F97">
            <w:pPr>
              <w:spacing w:after="0" w:line="276" w:lineRule="auto"/>
              <w:contextualSpacing/>
              <w:rPr>
                <w:rFonts w:ascii="Times New Roman" w:eastAsia="Calibri" w:hAnsi="Times New Roman" w:cs="Times New Roman"/>
                <w:b/>
                <w:bCs/>
              </w:rPr>
            </w:pPr>
            <w:r w:rsidRPr="0075481A">
              <w:rPr>
                <w:rFonts w:ascii="Times New Roman" w:eastAsia="Calibri" w:hAnsi="Times New Roman" w:cs="Times New Roman"/>
                <w:b/>
                <w:bCs/>
              </w:rPr>
              <w:t>Potraživanja prema vrsti pružene usluge</w:t>
            </w:r>
          </w:p>
        </w:tc>
        <w:tc>
          <w:tcPr>
            <w:tcW w:w="1828" w:type="dxa"/>
            <w:shd w:val="clear" w:color="auto" w:fill="F2F2F2"/>
          </w:tcPr>
          <w:p w14:paraId="00663C20" w14:textId="77777777" w:rsidR="00F43F97" w:rsidRPr="0075481A" w:rsidRDefault="00F43F97" w:rsidP="00F43F97">
            <w:pPr>
              <w:spacing w:after="0" w:line="276" w:lineRule="auto"/>
              <w:contextualSpacing/>
              <w:jc w:val="center"/>
              <w:rPr>
                <w:rFonts w:ascii="Times New Roman" w:eastAsia="Calibri" w:hAnsi="Times New Roman" w:cs="Times New Roman"/>
                <w:b/>
                <w:bCs/>
              </w:rPr>
            </w:pPr>
            <w:r w:rsidRPr="0075481A">
              <w:rPr>
                <w:rFonts w:ascii="Times New Roman" w:eastAsia="Calibri" w:hAnsi="Times New Roman" w:cs="Times New Roman"/>
                <w:b/>
                <w:bCs/>
              </w:rPr>
              <w:t xml:space="preserve">Stanje </w:t>
            </w:r>
          </w:p>
          <w:p w14:paraId="6D1D53F1" w14:textId="77777777" w:rsidR="00F43F97" w:rsidRPr="0075481A" w:rsidRDefault="00F43F97" w:rsidP="00F43F97">
            <w:pPr>
              <w:spacing w:after="0" w:line="276" w:lineRule="auto"/>
              <w:contextualSpacing/>
              <w:jc w:val="center"/>
              <w:rPr>
                <w:rFonts w:ascii="Times New Roman" w:eastAsia="Calibri" w:hAnsi="Times New Roman" w:cs="Times New Roman"/>
                <w:b/>
                <w:bCs/>
              </w:rPr>
            </w:pPr>
            <w:r w:rsidRPr="0075481A">
              <w:rPr>
                <w:rFonts w:ascii="Times New Roman" w:eastAsia="Calibri" w:hAnsi="Times New Roman" w:cs="Times New Roman"/>
                <w:b/>
                <w:bCs/>
              </w:rPr>
              <w:t>na 31.12.2022.</w:t>
            </w:r>
          </w:p>
        </w:tc>
        <w:tc>
          <w:tcPr>
            <w:tcW w:w="1549" w:type="dxa"/>
            <w:shd w:val="clear" w:color="auto" w:fill="F2F2F2"/>
          </w:tcPr>
          <w:p w14:paraId="192A26DC" w14:textId="77777777" w:rsidR="00F43F97" w:rsidRPr="0075481A" w:rsidRDefault="00F43F97" w:rsidP="00F43F97">
            <w:pPr>
              <w:spacing w:after="0" w:line="276" w:lineRule="auto"/>
              <w:contextualSpacing/>
              <w:jc w:val="center"/>
              <w:rPr>
                <w:rFonts w:ascii="Times New Roman" w:eastAsia="Calibri" w:hAnsi="Times New Roman" w:cs="Times New Roman"/>
                <w:b/>
                <w:bCs/>
              </w:rPr>
            </w:pPr>
            <w:r w:rsidRPr="0075481A">
              <w:rPr>
                <w:rFonts w:ascii="Times New Roman" w:eastAsia="Calibri" w:hAnsi="Times New Roman" w:cs="Times New Roman"/>
                <w:b/>
                <w:bCs/>
              </w:rPr>
              <w:t xml:space="preserve">Stanje </w:t>
            </w:r>
          </w:p>
          <w:p w14:paraId="012193C7" w14:textId="77777777" w:rsidR="00F43F97" w:rsidRPr="0075481A" w:rsidRDefault="00F43F97" w:rsidP="00F43F97">
            <w:pPr>
              <w:spacing w:after="0" w:line="276" w:lineRule="auto"/>
              <w:contextualSpacing/>
              <w:jc w:val="center"/>
              <w:rPr>
                <w:rFonts w:ascii="Times New Roman" w:eastAsia="Calibri" w:hAnsi="Times New Roman" w:cs="Times New Roman"/>
                <w:b/>
                <w:bCs/>
              </w:rPr>
            </w:pPr>
            <w:r w:rsidRPr="0075481A">
              <w:rPr>
                <w:rFonts w:ascii="Times New Roman" w:eastAsia="Calibri" w:hAnsi="Times New Roman" w:cs="Times New Roman"/>
                <w:b/>
                <w:bCs/>
              </w:rPr>
              <w:t>na 31.12.2023.</w:t>
            </w:r>
          </w:p>
        </w:tc>
        <w:tc>
          <w:tcPr>
            <w:tcW w:w="1034" w:type="dxa"/>
            <w:shd w:val="clear" w:color="auto" w:fill="F2F2F2"/>
            <w:vAlign w:val="center"/>
          </w:tcPr>
          <w:p w14:paraId="002EE235" w14:textId="77777777" w:rsidR="00F43F97" w:rsidRPr="0075481A" w:rsidRDefault="00F43F97" w:rsidP="00F43F97">
            <w:pPr>
              <w:spacing w:after="0" w:line="276" w:lineRule="auto"/>
              <w:contextualSpacing/>
              <w:jc w:val="center"/>
              <w:rPr>
                <w:rFonts w:ascii="Times New Roman" w:eastAsia="Calibri" w:hAnsi="Times New Roman" w:cs="Times New Roman"/>
                <w:b/>
                <w:bCs/>
              </w:rPr>
            </w:pPr>
            <w:r w:rsidRPr="0075481A">
              <w:rPr>
                <w:rFonts w:ascii="Times New Roman" w:eastAsia="Calibri" w:hAnsi="Times New Roman" w:cs="Times New Roman"/>
                <w:b/>
                <w:bCs/>
              </w:rPr>
              <w:t>IND</w:t>
            </w:r>
          </w:p>
        </w:tc>
      </w:tr>
      <w:tr w:rsidR="00F43F97" w:rsidRPr="0075481A" w14:paraId="489A6667" w14:textId="77777777" w:rsidTr="00941C67">
        <w:trPr>
          <w:trHeight w:val="340"/>
          <w:jc w:val="center"/>
        </w:trPr>
        <w:tc>
          <w:tcPr>
            <w:tcW w:w="4415" w:type="dxa"/>
            <w:tcBorders>
              <w:bottom w:val="nil"/>
            </w:tcBorders>
            <w:shd w:val="clear" w:color="auto" w:fill="auto"/>
          </w:tcPr>
          <w:p w14:paraId="62AC9D77" w14:textId="77777777" w:rsidR="00F43F97" w:rsidRPr="0075481A" w:rsidRDefault="00F43F97" w:rsidP="00F43F97">
            <w:pPr>
              <w:spacing w:after="0" w:line="276" w:lineRule="auto"/>
              <w:contextualSpacing/>
              <w:rPr>
                <w:rFonts w:ascii="Times New Roman" w:eastAsia="Calibri" w:hAnsi="Times New Roman" w:cs="Times New Roman"/>
              </w:rPr>
            </w:pPr>
            <w:r w:rsidRPr="0075481A">
              <w:rPr>
                <w:rFonts w:ascii="Times New Roman" w:eastAsia="Calibri" w:hAnsi="Times New Roman" w:cs="Times New Roman"/>
              </w:rPr>
              <w:t>Godišnja naknada za korištenje grobnih mjesta</w:t>
            </w:r>
          </w:p>
        </w:tc>
        <w:tc>
          <w:tcPr>
            <w:tcW w:w="1828" w:type="dxa"/>
            <w:tcBorders>
              <w:bottom w:val="nil"/>
            </w:tcBorders>
            <w:shd w:val="clear" w:color="auto" w:fill="auto"/>
          </w:tcPr>
          <w:p w14:paraId="1321BEE4" w14:textId="622B810A"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72.189,20</w:t>
            </w:r>
          </w:p>
        </w:tc>
        <w:tc>
          <w:tcPr>
            <w:tcW w:w="1549" w:type="dxa"/>
            <w:tcBorders>
              <w:top w:val="single" w:sz="18" w:space="0" w:color="FFFFFF"/>
              <w:left w:val="single" w:sz="18" w:space="0" w:color="FFFFFF"/>
              <w:bottom w:val="nil"/>
              <w:right w:val="single" w:sz="18" w:space="0" w:color="FFFFFF"/>
            </w:tcBorders>
          </w:tcPr>
          <w:p w14:paraId="10A4F072" w14:textId="23A20F38"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76.039,74</w:t>
            </w:r>
          </w:p>
        </w:tc>
        <w:tc>
          <w:tcPr>
            <w:tcW w:w="1034" w:type="dxa"/>
            <w:tcBorders>
              <w:bottom w:val="nil"/>
            </w:tcBorders>
          </w:tcPr>
          <w:p w14:paraId="22A9010F" w14:textId="77777777"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105</w:t>
            </w:r>
          </w:p>
        </w:tc>
      </w:tr>
      <w:tr w:rsidR="00F43F97" w:rsidRPr="0075481A" w14:paraId="3ED66759" w14:textId="77777777" w:rsidTr="00941C67">
        <w:trPr>
          <w:trHeight w:val="340"/>
          <w:jc w:val="center"/>
        </w:trPr>
        <w:tc>
          <w:tcPr>
            <w:tcW w:w="4415" w:type="dxa"/>
            <w:tcBorders>
              <w:top w:val="nil"/>
              <w:bottom w:val="nil"/>
            </w:tcBorders>
            <w:shd w:val="clear" w:color="auto" w:fill="E7E6E6"/>
          </w:tcPr>
          <w:p w14:paraId="665761F8" w14:textId="77777777" w:rsidR="00F43F97" w:rsidRPr="0075481A" w:rsidRDefault="00F43F97" w:rsidP="00F43F97">
            <w:pPr>
              <w:spacing w:after="0" w:line="276" w:lineRule="auto"/>
              <w:contextualSpacing/>
              <w:rPr>
                <w:rFonts w:ascii="Times New Roman" w:eastAsia="Calibri" w:hAnsi="Times New Roman" w:cs="Times New Roman"/>
              </w:rPr>
            </w:pPr>
            <w:r w:rsidRPr="0075481A">
              <w:rPr>
                <w:rFonts w:ascii="Times New Roman" w:eastAsia="Calibri" w:hAnsi="Times New Roman" w:cs="Times New Roman"/>
              </w:rPr>
              <w:t>Pogrebne usluge (fizičke osobe)</w:t>
            </w:r>
          </w:p>
        </w:tc>
        <w:tc>
          <w:tcPr>
            <w:tcW w:w="1828" w:type="dxa"/>
            <w:tcBorders>
              <w:top w:val="nil"/>
              <w:bottom w:val="nil"/>
            </w:tcBorders>
            <w:shd w:val="clear" w:color="auto" w:fill="E7E6E6"/>
          </w:tcPr>
          <w:p w14:paraId="41565E28" w14:textId="3A025977"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116.181,00</w:t>
            </w:r>
          </w:p>
        </w:tc>
        <w:tc>
          <w:tcPr>
            <w:tcW w:w="1549" w:type="dxa"/>
            <w:tcBorders>
              <w:top w:val="nil"/>
              <w:left w:val="single" w:sz="18" w:space="0" w:color="FFFFFF"/>
              <w:bottom w:val="nil"/>
              <w:right w:val="single" w:sz="18" w:space="0" w:color="FFFFFF"/>
            </w:tcBorders>
            <w:shd w:val="clear" w:color="auto" w:fill="E7E6E6"/>
          </w:tcPr>
          <w:p w14:paraId="2966F010" w14:textId="1B2EAECA"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149.711,00</w:t>
            </w:r>
          </w:p>
        </w:tc>
        <w:tc>
          <w:tcPr>
            <w:tcW w:w="1034" w:type="dxa"/>
            <w:tcBorders>
              <w:top w:val="nil"/>
              <w:bottom w:val="nil"/>
            </w:tcBorders>
            <w:shd w:val="clear" w:color="auto" w:fill="E7E6E6"/>
          </w:tcPr>
          <w:p w14:paraId="6D144CE2" w14:textId="77777777"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129</w:t>
            </w:r>
          </w:p>
        </w:tc>
      </w:tr>
      <w:tr w:rsidR="00F43F97" w:rsidRPr="0075481A" w14:paraId="7AF2069F" w14:textId="77777777" w:rsidTr="00941C67">
        <w:trPr>
          <w:trHeight w:val="340"/>
          <w:jc w:val="center"/>
        </w:trPr>
        <w:tc>
          <w:tcPr>
            <w:tcW w:w="4415" w:type="dxa"/>
            <w:tcBorders>
              <w:top w:val="nil"/>
              <w:bottom w:val="nil"/>
            </w:tcBorders>
            <w:shd w:val="clear" w:color="auto" w:fill="FFFFFF"/>
          </w:tcPr>
          <w:p w14:paraId="424794E1" w14:textId="77777777" w:rsidR="00F43F97" w:rsidRPr="0075481A" w:rsidRDefault="00F43F97" w:rsidP="00F43F97">
            <w:pPr>
              <w:spacing w:after="0" w:line="276" w:lineRule="auto"/>
              <w:contextualSpacing/>
              <w:rPr>
                <w:rFonts w:ascii="Times New Roman" w:eastAsia="Calibri" w:hAnsi="Times New Roman" w:cs="Times New Roman"/>
              </w:rPr>
            </w:pPr>
            <w:r w:rsidRPr="0075481A">
              <w:rPr>
                <w:rFonts w:ascii="Times New Roman" w:eastAsia="Calibri" w:hAnsi="Times New Roman" w:cs="Times New Roman"/>
              </w:rPr>
              <w:t>Pogrebne usluge i održavanje groblja (pravne osobe)</w:t>
            </w:r>
          </w:p>
        </w:tc>
        <w:tc>
          <w:tcPr>
            <w:tcW w:w="1828" w:type="dxa"/>
            <w:tcBorders>
              <w:top w:val="nil"/>
              <w:bottom w:val="nil"/>
            </w:tcBorders>
            <w:shd w:val="clear" w:color="auto" w:fill="FFFFFF"/>
          </w:tcPr>
          <w:p w14:paraId="4F274385" w14:textId="072EF53D"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17.427,15</w:t>
            </w:r>
          </w:p>
        </w:tc>
        <w:tc>
          <w:tcPr>
            <w:tcW w:w="1549" w:type="dxa"/>
            <w:tcBorders>
              <w:top w:val="nil"/>
              <w:left w:val="single" w:sz="18" w:space="0" w:color="FFFFFF"/>
              <w:bottom w:val="nil"/>
              <w:right w:val="single" w:sz="18" w:space="0" w:color="FFFFFF"/>
            </w:tcBorders>
            <w:shd w:val="clear" w:color="auto" w:fill="FFFFFF"/>
          </w:tcPr>
          <w:p w14:paraId="30561F9B" w14:textId="68F42DE2"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40.971,00</w:t>
            </w:r>
          </w:p>
        </w:tc>
        <w:tc>
          <w:tcPr>
            <w:tcW w:w="1034" w:type="dxa"/>
            <w:tcBorders>
              <w:top w:val="nil"/>
              <w:bottom w:val="nil"/>
            </w:tcBorders>
            <w:shd w:val="clear" w:color="auto" w:fill="FFFFFF"/>
          </w:tcPr>
          <w:p w14:paraId="7307526D" w14:textId="77777777"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235</w:t>
            </w:r>
          </w:p>
        </w:tc>
      </w:tr>
      <w:tr w:rsidR="00F43F97" w:rsidRPr="0075481A" w14:paraId="2CE948CD" w14:textId="77777777" w:rsidTr="00941C67">
        <w:trPr>
          <w:trHeight w:val="340"/>
          <w:jc w:val="center"/>
        </w:trPr>
        <w:tc>
          <w:tcPr>
            <w:tcW w:w="4415" w:type="dxa"/>
            <w:tcBorders>
              <w:top w:val="nil"/>
              <w:bottom w:val="nil"/>
            </w:tcBorders>
            <w:shd w:val="clear" w:color="auto" w:fill="E7E6E6"/>
          </w:tcPr>
          <w:p w14:paraId="31F4F8AD" w14:textId="77777777" w:rsidR="00F43F97" w:rsidRPr="0075481A" w:rsidRDefault="00F43F97" w:rsidP="00F43F97">
            <w:pPr>
              <w:spacing w:after="0" w:line="276" w:lineRule="auto"/>
              <w:contextualSpacing/>
              <w:rPr>
                <w:rFonts w:ascii="Times New Roman" w:eastAsia="Calibri" w:hAnsi="Times New Roman" w:cs="Times New Roman"/>
              </w:rPr>
            </w:pPr>
            <w:r w:rsidRPr="0075481A">
              <w:rPr>
                <w:rFonts w:ascii="Times New Roman" w:eastAsia="Calibri" w:hAnsi="Times New Roman" w:cs="Times New Roman"/>
              </w:rPr>
              <w:t>Ispravak vrijednosti potraživanja</w:t>
            </w:r>
          </w:p>
        </w:tc>
        <w:tc>
          <w:tcPr>
            <w:tcW w:w="1828" w:type="dxa"/>
            <w:tcBorders>
              <w:top w:val="nil"/>
              <w:bottom w:val="nil"/>
            </w:tcBorders>
            <w:shd w:val="clear" w:color="auto" w:fill="E7E6E6"/>
          </w:tcPr>
          <w:p w14:paraId="1DF4C284" w14:textId="2F82D1D2"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(124.276,14)</w:t>
            </w:r>
          </w:p>
        </w:tc>
        <w:tc>
          <w:tcPr>
            <w:tcW w:w="1549" w:type="dxa"/>
            <w:tcBorders>
              <w:top w:val="nil"/>
              <w:left w:val="single" w:sz="18" w:space="0" w:color="FFFFFF"/>
              <w:bottom w:val="nil"/>
              <w:right w:val="single" w:sz="18" w:space="0" w:color="FFFFFF"/>
            </w:tcBorders>
            <w:shd w:val="clear" w:color="auto" w:fill="E7E6E6"/>
          </w:tcPr>
          <w:p w14:paraId="51D7083C" w14:textId="2CB66308"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(159.156,92)</w:t>
            </w:r>
          </w:p>
        </w:tc>
        <w:tc>
          <w:tcPr>
            <w:tcW w:w="1034" w:type="dxa"/>
            <w:tcBorders>
              <w:top w:val="nil"/>
              <w:bottom w:val="nil"/>
            </w:tcBorders>
            <w:shd w:val="clear" w:color="auto" w:fill="E7E6E6"/>
          </w:tcPr>
          <w:p w14:paraId="4163CE2C" w14:textId="77777777" w:rsidR="00F43F97" w:rsidRPr="0075481A" w:rsidRDefault="00F43F97" w:rsidP="00F43F97">
            <w:pPr>
              <w:spacing w:after="0" w:line="276" w:lineRule="auto"/>
              <w:contextualSpacing/>
              <w:jc w:val="center"/>
              <w:rPr>
                <w:rFonts w:ascii="Times New Roman" w:eastAsia="Calibri" w:hAnsi="Times New Roman" w:cs="Times New Roman"/>
              </w:rPr>
            </w:pPr>
            <w:r w:rsidRPr="0075481A">
              <w:rPr>
                <w:rFonts w:ascii="Times New Roman" w:eastAsia="Calibri" w:hAnsi="Times New Roman" w:cs="Times New Roman"/>
              </w:rPr>
              <w:t>(128)</w:t>
            </w:r>
          </w:p>
        </w:tc>
      </w:tr>
      <w:tr w:rsidR="00F43F97" w:rsidRPr="0075481A" w14:paraId="53ADCD21" w14:textId="77777777" w:rsidTr="00941C67">
        <w:trPr>
          <w:trHeight w:val="340"/>
          <w:jc w:val="center"/>
        </w:trPr>
        <w:tc>
          <w:tcPr>
            <w:tcW w:w="4415" w:type="dxa"/>
            <w:tcBorders>
              <w:top w:val="nil"/>
              <w:bottom w:val="nil"/>
            </w:tcBorders>
            <w:shd w:val="clear" w:color="auto" w:fill="F2F2F2"/>
          </w:tcPr>
          <w:p w14:paraId="0C9A99A5" w14:textId="77777777" w:rsidR="00F43F97" w:rsidRPr="0075481A" w:rsidRDefault="00F43F97" w:rsidP="00F43F97">
            <w:pPr>
              <w:spacing w:after="0" w:line="276" w:lineRule="auto"/>
              <w:contextualSpacing/>
              <w:rPr>
                <w:rFonts w:ascii="Times New Roman" w:eastAsia="Calibri" w:hAnsi="Times New Roman" w:cs="Times New Roman"/>
                <w:b/>
              </w:rPr>
            </w:pPr>
            <w:r w:rsidRPr="0075481A">
              <w:rPr>
                <w:rFonts w:ascii="Times New Roman" w:eastAsia="Calibri" w:hAnsi="Times New Roman" w:cs="Times New Roman"/>
                <w:b/>
              </w:rPr>
              <w:t>UKUPNO / EUR</w:t>
            </w:r>
          </w:p>
        </w:tc>
        <w:tc>
          <w:tcPr>
            <w:tcW w:w="1828" w:type="dxa"/>
            <w:tcBorders>
              <w:top w:val="nil"/>
              <w:bottom w:val="nil"/>
            </w:tcBorders>
            <w:shd w:val="clear" w:color="auto" w:fill="F2F2F2"/>
          </w:tcPr>
          <w:p w14:paraId="2205191F" w14:textId="48B822A8" w:rsidR="00F43F97" w:rsidRPr="0075481A" w:rsidRDefault="00F43F97" w:rsidP="00F43F97">
            <w:pPr>
              <w:spacing w:after="0" w:line="276" w:lineRule="auto"/>
              <w:contextualSpacing/>
              <w:jc w:val="center"/>
              <w:rPr>
                <w:rFonts w:ascii="Times New Roman" w:eastAsia="Calibri" w:hAnsi="Times New Roman" w:cs="Times New Roman"/>
                <w:b/>
              </w:rPr>
            </w:pPr>
            <w:r w:rsidRPr="0075481A">
              <w:rPr>
                <w:rFonts w:ascii="Times New Roman" w:eastAsia="Calibri" w:hAnsi="Times New Roman" w:cs="Times New Roman"/>
                <w:b/>
              </w:rPr>
              <w:t>81.521,21</w:t>
            </w:r>
          </w:p>
        </w:tc>
        <w:tc>
          <w:tcPr>
            <w:tcW w:w="1549" w:type="dxa"/>
            <w:tcBorders>
              <w:top w:val="nil"/>
              <w:left w:val="single" w:sz="18" w:space="0" w:color="FFFFFF"/>
              <w:bottom w:val="nil"/>
              <w:right w:val="single" w:sz="18" w:space="0" w:color="FFFFFF"/>
            </w:tcBorders>
            <w:shd w:val="clear" w:color="auto" w:fill="F2F2F2"/>
          </w:tcPr>
          <w:p w14:paraId="38A18D5C" w14:textId="21DE2483" w:rsidR="00F43F97" w:rsidRPr="0075481A" w:rsidRDefault="00F43F97" w:rsidP="00F43F97">
            <w:pPr>
              <w:spacing w:after="0" w:line="276" w:lineRule="auto"/>
              <w:contextualSpacing/>
              <w:jc w:val="center"/>
              <w:rPr>
                <w:rFonts w:ascii="Times New Roman" w:eastAsia="Calibri" w:hAnsi="Times New Roman" w:cs="Times New Roman"/>
                <w:b/>
              </w:rPr>
            </w:pPr>
            <w:r w:rsidRPr="0075481A">
              <w:rPr>
                <w:rFonts w:ascii="Times New Roman" w:eastAsia="Calibri" w:hAnsi="Times New Roman" w:cs="Times New Roman"/>
                <w:b/>
              </w:rPr>
              <w:t>107.564,82</w:t>
            </w:r>
          </w:p>
        </w:tc>
        <w:tc>
          <w:tcPr>
            <w:tcW w:w="1034" w:type="dxa"/>
            <w:tcBorders>
              <w:top w:val="nil"/>
              <w:bottom w:val="nil"/>
            </w:tcBorders>
            <w:shd w:val="clear" w:color="auto" w:fill="F2F2F2"/>
          </w:tcPr>
          <w:p w14:paraId="28B8C6C2" w14:textId="77777777" w:rsidR="00F43F97" w:rsidRPr="0075481A" w:rsidRDefault="00F43F97" w:rsidP="00F43F97">
            <w:pPr>
              <w:spacing w:after="0" w:line="276" w:lineRule="auto"/>
              <w:contextualSpacing/>
              <w:jc w:val="center"/>
              <w:rPr>
                <w:rFonts w:ascii="Times New Roman" w:eastAsia="Calibri" w:hAnsi="Times New Roman" w:cs="Times New Roman"/>
                <w:b/>
              </w:rPr>
            </w:pPr>
            <w:r w:rsidRPr="0075481A">
              <w:rPr>
                <w:rFonts w:ascii="Times New Roman" w:eastAsia="Calibri" w:hAnsi="Times New Roman" w:cs="Times New Roman"/>
                <w:b/>
              </w:rPr>
              <w:t>132</w:t>
            </w:r>
          </w:p>
        </w:tc>
      </w:tr>
    </w:tbl>
    <w:p w14:paraId="4DA33DDC" w14:textId="77777777" w:rsidR="00F43F97" w:rsidRPr="0075481A" w:rsidRDefault="00F43F97" w:rsidP="00F43F97">
      <w:pPr>
        <w:tabs>
          <w:tab w:val="right" w:pos="5103"/>
        </w:tabs>
        <w:suppressAutoHyphens/>
        <w:autoSpaceDN w:val="0"/>
        <w:spacing w:after="0" w:line="276" w:lineRule="auto"/>
        <w:jc w:val="both"/>
        <w:textAlignment w:val="baseline"/>
        <w:rPr>
          <w:rFonts w:ascii="Times New Roman" w:eastAsia="Calibri" w:hAnsi="Times New Roman" w:cs="Times New Roman"/>
          <w:b/>
          <w:lang w:eastAsia="hr-HR"/>
        </w:rPr>
      </w:pPr>
    </w:p>
    <w:p w14:paraId="436DA37F" w14:textId="4FED691C" w:rsidR="00F43F97" w:rsidRPr="0075481A" w:rsidRDefault="00F43F97" w:rsidP="00F43F97">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U tablici je prikaz strukture potraživanja na dan 31.12.2023. godine. Od ukupnih prikazanih potraživanja (isključen ispravak vrijednosti) na dospjela se odnosi 207.463,11 EUR, a na nedospjela 59.258,02 EUR. U dospjelim potraživanjima evidentirano je 74.665,03 EUR utuženih potraživanja iz prijašnjih godina.</w:t>
      </w:r>
    </w:p>
    <w:p w14:paraId="602610E2" w14:textId="77777777" w:rsidR="00F43F97" w:rsidRPr="0075481A" w:rsidRDefault="00F43F97" w:rsidP="00F43F97">
      <w:pPr>
        <w:spacing w:after="0" w:line="276" w:lineRule="auto"/>
        <w:contextualSpacing/>
        <w:jc w:val="both"/>
        <w:rPr>
          <w:rFonts w:ascii="Times New Roman" w:eastAsia="Calibri" w:hAnsi="Times New Roman" w:cs="Times New Roman"/>
          <w:bCs/>
        </w:rPr>
      </w:pPr>
      <w:r w:rsidRPr="0075481A">
        <w:rPr>
          <w:rFonts w:ascii="Times New Roman" w:eastAsia="Calibri" w:hAnsi="Times New Roman" w:cs="Times New Roman"/>
        </w:rPr>
        <w:t xml:space="preserve">Na povećanje potraživanja od kupaca od 32% dijelom je utjecalo i povećanje cijena komunalnih usluga, te </w:t>
      </w:r>
      <w:proofErr w:type="spellStart"/>
      <w:r w:rsidRPr="0075481A">
        <w:rPr>
          <w:rFonts w:ascii="Times New Roman" w:eastAsia="Calibri" w:hAnsi="Times New Roman" w:cs="Times New Roman"/>
        </w:rPr>
        <w:t>pogrebničkih</w:t>
      </w:r>
      <w:proofErr w:type="spellEnd"/>
      <w:r w:rsidRPr="0075481A">
        <w:rPr>
          <w:rFonts w:ascii="Times New Roman" w:eastAsia="Calibri" w:hAnsi="Times New Roman" w:cs="Times New Roman"/>
        </w:rPr>
        <w:t xml:space="preserve"> i tržišnih usluga tijekom 2023. godine. </w:t>
      </w:r>
    </w:p>
    <w:p w14:paraId="2F628E76" w14:textId="77777777" w:rsidR="00F43F97" w:rsidRPr="0075481A" w:rsidRDefault="00F43F97" w:rsidP="00F43F97">
      <w:pPr>
        <w:spacing w:after="0" w:line="276" w:lineRule="auto"/>
        <w:contextualSpacing/>
        <w:jc w:val="both"/>
        <w:rPr>
          <w:rFonts w:ascii="Times New Roman" w:eastAsia="Calibri" w:hAnsi="Times New Roman" w:cs="Times New Roman"/>
        </w:rPr>
      </w:pPr>
    </w:p>
    <w:p w14:paraId="79D21AF3" w14:textId="77777777" w:rsidR="00A81432" w:rsidRDefault="00A81432" w:rsidP="00F43F97">
      <w:pPr>
        <w:spacing w:after="0" w:line="276" w:lineRule="auto"/>
        <w:contextualSpacing/>
        <w:jc w:val="both"/>
        <w:rPr>
          <w:rFonts w:ascii="Times New Roman" w:eastAsia="Calibri" w:hAnsi="Times New Roman" w:cs="Times New Roman"/>
        </w:rPr>
      </w:pPr>
    </w:p>
    <w:p w14:paraId="0C60C45B" w14:textId="42DF2786" w:rsidR="00A81432" w:rsidRDefault="00A81432" w:rsidP="00A81432">
      <w:pPr>
        <w:spacing w:after="0" w:line="276" w:lineRule="auto"/>
        <w:contextualSpacing/>
        <w:jc w:val="right"/>
        <w:rPr>
          <w:rFonts w:ascii="Times New Roman" w:eastAsia="Calibri" w:hAnsi="Times New Roman" w:cs="Times New Roman"/>
        </w:rPr>
      </w:pPr>
      <w:r>
        <w:rPr>
          <w:rFonts w:ascii="Times New Roman" w:eastAsia="Calibri" w:hAnsi="Times New Roman" w:cs="Times New Roman"/>
        </w:rPr>
        <w:t>7</w:t>
      </w:r>
    </w:p>
    <w:p w14:paraId="77599612" w14:textId="77777777" w:rsidR="00A81432" w:rsidRDefault="00A81432" w:rsidP="00F43F97">
      <w:pPr>
        <w:spacing w:after="0" w:line="276" w:lineRule="auto"/>
        <w:contextualSpacing/>
        <w:jc w:val="both"/>
        <w:rPr>
          <w:rFonts w:ascii="Times New Roman" w:eastAsia="Calibri" w:hAnsi="Times New Roman" w:cs="Times New Roman"/>
        </w:rPr>
      </w:pPr>
    </w:p>
    <w:p w14:paraId="73000EF8" w14:textId="4923A051" w:rsidR="00F43F97" w:rsidRPr="0075481A" w:rsidRDefault="00F43F97" w:rsidP="00F43F97">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Potraživanja od radnika u iznosu od 58,55 EUR odnosi se na potraživanja za akontaciju  za službeni put u zemlji od 26,55 EUR i 32,00 EUR za ostala potraživanja od radnika.</w:t>
      </w:r>
    </w:p>
    <w:p w14:paraId="644B3295" w14:textId="5C88C982" w:rsidR="00F43F97" w:rsidRDefault="00F43F97" w:rsidP="00F43F97">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Potraživanja od države i drugih institucija iznosi 22.693,70 EUR,   potraživanja od HZZO za bolovanja u iznosu od 5.046,19 EUR koja su naplaćena u 2024. godini,  potraživanja za preplaćene doprinose i poreze u iznosu od 98</w:t>
      </w:r>
      <w:r w:rsidR="00BA10AD" w:rsidRPr="0075481A">
        <w:rPr>
          <w:rFonts w:ascii="Times New Roman" w:eastAsia="Calibri" w:hAnsi="Times New Roman" w:cs="Times New Roman"/>
        </w:rPr>
        <w:t>3,51</w:t>
      </w:r>
      <w:r w:rsidRPr="0075481A">
        <w:rPr>
          <w:rFonts w:ascii="Times New Roman" w:eastAsia="Calibri" w:hAnsi="Times New Roman" w:cs="Times New Roman"/>
        </w:rPr>
        <w:t xml:space="preserve"> EUR koji su naplaćeni u 2024. godini, te iznos pretporeza u iznosu od 16.664</w:t>
      </w:r>
      <w:r w:rsidR="00BA10AD" w:rsidRPr="0075481A">
        <w:rPr>
          <w:rFonts w:ascii="Times New Roman" w:eastAsia="Calibri" w:hAnsi="Times New Roman" w:cs="Times New Roman"/>
        </w:rPr>
        <w:t>,00</w:t>
      </w:r>
      <w:r w:rsidRPr="0075481A">
        <w:rPr>
          <w:rFonts w:ascii="Times New Roman" w:eastAsia="Calibri" w:hAnsi="Times New Roman" w:cs="Times New Roman"/>
        </w:rPr>
        <w:t xml:space="preserve"> EUR. Sa danom 01.01.2023. godine Društvo je prešlo na primjenu postupka oporezivanja PDV-a prema naplaćenim naknadama, pa pravo na odbitak pretporeza nastaje u trenutku kada je dobavljaču plaćen račun, slijedom navedenoga bilježimo povećanje pozicije od 252% u odnosu na 2022. godinu.</w:t>
      </w:r>
    </w:p>
    <w:p w14:paraId="33E06CF3" w14:textId="5B6C18BB" w:rsidR="00F43F97" w:rsidRPr="0075481A" w:rsidRDefault="00F43F97" w:rsidP="00F43F97">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Ostala potraživanja u iznosu od 8.20</w:t>
      </w:r>
      <w:r w:rsidR="00BA10AD" w:rsidRPr="0075481A">
        <w:rPr>
          <w:rFonts w:ascii="Times New Roman" w:eastAsia="Calibri" w:hAnsi="Times New Roman" w:cs="Times New Roman"/>
        </w:rPr>
        <w:t>6,61</w:t>
      </w:r>
      <w:r w:rsidRPr="0075481A">
        <w:rPr>
          <w:rFonts w:ascii="Times New Roman" w:eastAsia="Calibri" w:hAnsi="Times New Roman" w:cs="Times New Roman"/>
        </w:rPr>
        <w:t xml:space="preserve"> EUR odnosi se na potraživanja od kartičnih kuća (VISA, MAESTRO, MASTERCARD) u iznosu od 7.92</w:t>
      </w:r>
      <w:r w:rsidR="00BA10AD" w:rsidRPr="0075481A">
        <w:rPr>
          <w:rFonts w:ascii="Times New Roman" w:eastAsia="Calibri" w:hAnsi="Times New Roman" w:cs="Times New Roman"/>
        </w:rPr>
        <w:t>1,90</w:t>
      </w:r>
      <w:r w:rsidRPr="0075481A">
        <w:rPr>
          <w:rFonts w:ascii="Times New Roman" w:eastAsia="Calibri" w:hAnsi="Times New Roman" w:cs="Times New Roman"/>
        </w:rPr>
        <w:t xml:space="preserve"> EUR i 28</w:t>
      </w:r>
      <w:r w:rsidR="00BA10AD" w:rsidRPr="0075481A">
        <w:rPr>
          <w:rFonts w:ascii="Times New Roman" w:eastAsia="Calibri" w:hAnsi="Times New Roman" w:cs="Times New Roman"/>
        </w:rPr>
        <w:t>4,71</w:t>
      </w:r>
      <w:r w:rsidRPr="0075481A">
        <w:rPr>
          <w:rFonts w:ascii="Times New Roman" w:eastAsia="Calibri" w:hAnsi="Times New Roman" w:cs="Times New Roman"/>
        </w:rPr>
        <w:t xml:space="preserve"> EUR za dane predujmove u tuzemstvu.</w:t>
      </w:r>
    </w:p>
    <w:p w14:paraId="43C0728E" w14:textId="77777777" w:rsidR="00F43F97" w:rsidRPr="0075481A" w:rsidRDefault="00F43F97" w:rsidP="00F43F97">
      <w:pPr>
        <w:tabs>
          <w:tab w:val="right" w:pos="5103"/>
        </w:tabs>
        <w:suppressAutoHyphens/>
        <w:autoSpaceDN w:val="0"/>
        <w:spacing w:after="0" w:line="276" w:lineRule="auto"/>
        <w:jc w:val="both"/>
        <w:textAlignment w:val="baseline"/>
        <w:rPr>
          <w:rFonts w:ascii="Times New Roman" w:eastAsia="Calibri" w:hAnsi="Times New Roman" w:cs="Times New Roman"/>
          <w:color w:val="FF0000"/>
          <w:lang w:eastAsia="hr-HR"/>
        </w:rPr>
      </w:pPr>
    </w:p>
    <w:p w14:paraId="418D203F" w14:textId="02BABC23" w:rsidR="00131D13" w:rsidRPr="0075481A" w:rsidRDefault="003E28E9" w:rsidP="00131D13">
      <w:pPr>
        <w:widowControl w:val="0"/>
        <w:spacing w:after="0" w:line="280" w:lineRule="exact"/>
        <w:jc w:val="both"/>
        <w:rPr>
          <w:rFonts w:ascii="Times New Roman" w:eastAsia="Times New Roman" w:hAnsi="Times New Roman" w:cs="Times New Roman"/>
          <w:b/>
        </w:rPr>
      </w:pPr>
      <w:r w:rsidRPr="0075481A">
        <w:rPr>
          <w:rFonts w:ascii="Times New Roman" w:eastAsia="Times New Roman" w:hAnsi="Times New Roman" w:cs="Times New Roman"/>
          <w:b/>
        </w:rPr>
        <w:t>B</w:t>
      </w:r>
      <w:r w:rsidR="00131D13" w:rsidRPr="0075481A">
        <w:rPr>
          <w:rFonts w:ascii="Times New Roman" w:eastAsia="Times New Roman" w:hAnsi="Times New Roman" w:cs="Times New Roman"/>
          <w:b/>
        </w:rPr>
        <w:t>ilješka 6. Novac u banci i blagajni</w:t>
      </w:r>
    </w:p>
    <w:p w14:paraId="10016325" w14:textId="77777777" w:rsidR="0078665F" w:rsidRPr="0075481A" w:rsidRDefault="0078665F" w:rsidP="0078665F">
      <w:pPr>
        <w:spacing w:after="0" w:line="276" w:lineRule="auto"/>
        <w:contextualSpacing/>
        <w:jc w:val="both"/>
        <w:rPr>
          <w:rFonts w:ascii="Times New Roman" w:eastAsia="Calibri" w:hAnsi="Times New Roman" w:cs="Times New Roman"/>
          <w:bCs/>
        </w:rPr>
      </w:pPr>
    </w:p>
    <w:p w14:paraId="539F2645" w14:textId="1C4C1BE3" w:rsidR="00E57B75" w:rsidRPr="0075481A" w:rsidRDefault="00E57B75" w:rsidP="00E57B75">
      <w:pPr>
        <w:spacing w:after="0" w:line="276" w:lineRule="auto"/>
        <w:contextualSpacing/>
        <w:jc w:val="both"/>
        <w:rPr>
          <w:rFonts w:ascii="Times New Roman" w:eastAsia="Calibri" w:hAnsi="Times New Roman" w:cs="Times New Roman"/>
          <w:bCs/>
        </w:rPr>
      </w:pPr>
      <w:r w:rsidRPr="0075481A">
        <w:rPr>
          <w:rFonts w:ascii="Times New Roman" w:eastAsia="Calibri" w:hAnsi="Times New Roman" w:cs="Times New Roman"/>
          <w:bCs/>
        </w:rPr>
        <w:t xml:space="preserve">Pozicija Novac u banci i blagajni bilježi pad od 44% u odnosu na 2022., iz razloga što se  u 2023. godini u dva navrata prijevremeno otplatila glavnica dugoročnog kredita u ukupnom iznosu od 265.445,00 EUR, te je oročeno 110.000,00 EUR u </w:t>
      </w:r>
      <w:proofErr w:type="spellStart"/>
      <w:r w:rsidRPr="0075481A">
        <w:rPr>
          <w:rFonts w:ascii="Times New Roman" w:eastAsia="Calibri" w:hAnsi="Times New Roman" w:cs="Times New Roman"/>
          <w:bCs/>
        </w:rPr>
        <w:t>Kent</w:t>
      </w:r>
      <w:proofErr w:type="spellEnd"/>
      <w:r w:rsidRPr="0075481A">
        <w:rPr>
          <w:rFonts w:ascii="Times New Roman" w:eastAsia="Calibri" w:hAnsi="Times New Roman" w:cs="Times New Roman"/>
          <w:bCs/>
        </w:rPr>
        <w:t xml:space="preserve"> banci d.d..</w:t>
      </w:r>
    </w:p>
    <w:p w14:paraId="1B8C1024" w14:textId="77777777" w:rsidR="00E57B75" w:rsidRPr="0075481A" w:rsidRDefault="00E57B75" w:rsidP="00E57B75">
      <w:pPr>
        <w:suppressAutoHyphens/>
        <w:autoSpaceDN w:val="0"/>
        <w:spacing w:after="0" w:line="276" w:lineRule="auto"/>
        <w:textAlignment w:val="baseline"/>
        <w:rPr>
          <w:rFonts w:ascii="Times New Roman" w:eastAsia="Calibri" w:hAnsi="Times New Roman" w:cs="Times New Roman"/>
          <w:b/>
          <w:noProof/>
          <w:color w:val="0F243E"/>
          <w:kern w:val="3"/>
          <w:lang w:eastAsia="hr-HR"/>
        </w:rPr>
      </w:pPr>
    </w:p>
    <w:p w14:paraId="3F6EC92A" w14:textId="77777777" w:rsidR="00131D13" w:rsidRPr="0075481A" w:rsidRDefault="00131D13" w:rsidP="00131D13">
      <w:pPr>
        <w:widowControl w:val="0"/>
        <w:spacing w:after="0" w:line="280" w:lineRule="exact"/>
        <w:rPr>
          <w:rFonts w:ascii="Times New Roman" w:eastAsia="Times New Roman" w:hAnsi="Times New Roman" w:cs="Times New Roman"/>
          <w:b/>
          <w:bCs/>
        </w:rPr>
      </w:pPr>
      <w:r w:rsidRPr="0075481A">
        <w:rPr>
          <w:rFonts w:ascii="Times New Roman" w:eastAsia="Times New Roman" w:hAnsi="Times New Roman" w:cs="Times New Roman"/>
          <w:b/>
          <w:bCs/>
        </w:rPr>
        <w:t>Bilješka 7. Plaćeni troškovi budućeg razdoblja i obračunati prihodi</w:t>
      </w:r>
    </w:p>
    <w:p w14:paraId="1767226A" w14:textId="77777777" w:rsidR="00422B81" w:rsidRPr="0075481A" w:rsidRDefault="00422B81" w:rsidP="00131D13">
      <w:pPr>
        <w:widowControl w:val="0"/>
        <w:spacing w:after="0" w:line="280" w:lineRule="exact"/>
        <w:rPr>
          <w:rFonts w:ascii="Times New Roman" w:eastAsia="Times New Roman" w:hAnsi="Times New Roman" w:cs="Times New Roman"/>
          <w:b/>
          <w:bCs/>
        </w:rPr>
      </w:pPr>
    </w:p>
    <w:p w14:paraId="7EC8106C" w14:textId="5C2B0AC0" w:rsidR="00E57B75" w:rsidRPr="0075481A" w:rsidRDefault="00E57B75" w:rsidP="00E57B75">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Na poziciji plaćenih troškova budućeg razdoblja i obračunatih prihoda evidentirano je 1.224,45 EUR, što se odnosi na unaprijed plaćene troškove Bina Istra, HAC i ARZ (ENC uređaj) i stručnu literaturu.</w:t>
      </w:r>
    </w:p>
    <w:p w14:paraId="570C3C74" w14:textId="77777777" w:rsidR="00131D13" w:rsidRPr="0075481A" w:rsidRDefault="00131D13" w:rsidP="003C5F17">
      <w:pPr>
        <w:widowControl w:val="0"/>
        <w:spacing w:after="0" w:line="280" w:lineRule="exact"/>
        <w:jc w:val="right"/>
        <w:rPr>
          <w:rFonts w:ascii="Times New Roman" w:eastAsia="Times New Roman" w:hAnsi="Times New Roman" w:cs="Times New Roman"/>
        </w:rPr>
      </w:pPr>
    </w:p>
    <w:p w14:paraId="0B7809B5" w14:textId="77777777" w:rsidR="00131D13" w:rsidRPr="0075481A" w:rsidRDefault="00131D13" w:rsidP="00131D13">
      <w:pPr>
        <w:spacing w:after="0" w:line="240" w:lineRule="auto"/>
        <w:jc w:val="both"/>
        <w:rPr>
          <w:rFonts w:ascii="Times New Roman" w:eastAsia="Times New Roman" w:hAnsi="Times New Roman" w:cs="Times New Roman"/>
          <w:b/>
        </w:rPr>
      </w:pPr>
      <w:r w:rsidRPr="0075481A">
        <w:rPr>
          <w:rFonts w:ascii="Times New Roman" w:eastAsia="Times New Roman" w:hAnsi="Times New Roman" w:cs="Times New Roman"/>
          <w:b/>
        </w:rPr>
        <w:t xml:space="preserve">Bilješka  8. </w:t>
      </w:r>
      <w:r w:rsidRPr="0075481A">
        <w:rPr>
          <w:rFonts w:ascii="Times New Roman" w:eastAsia="Times New Roman" w:hAnsi="Times New Roman" w:cs="Times New Roman"/>
          <w:b/>
        </w:rPr>
        <w:tab/>
        <w:t>Kapital i rezerve</w:t>
      </w:r>
    </w:p>
    <w:p w14:paraId="6A9FE950" w14:textId="77777777" w:rsidR="00422B81" w:rsidRPr="0075481A" w:rsidRDefault="00422B81" w:rsidP="00131D13">
      <w:pPr>
        <w:spacing w:after="0" w:line="240" w:lineRule="auto"/>
        <w:jc w:val="both"/>
        <w:rPr>
          <w:rFonts w:ascii="Times New Roman" w:eastAsia="Times New Roman" w:hAnsi="Times New Roman" w:cs="Times New Roman"/>
          <w:b/>
        </w:rPr>
      </w:pPr>
    </w:p>
    <w:p w14:paraId="5461430E" w14:textId="38AAC597" w:rsidR="00E57B75" w:rsidRPr="0075481A" w:rsidRDefault="00E57B75" w:rsidP="00E57B75">
      <w:pPr>
        <w:spacing w:after="0" w:line="276" w:lineRule="auto"/>
        <w:contextualSpacing/>
        <w:jc w:val="both"/>
        <w:rPr>
          <w:rFonts w:ascii="Times New Roman" w:eastAsia="Calibri" w:hAnsi="Times New Roman" w:cs="Times New Roman"/>
          <w:bCs/>
        </w:rPr>
      </w:pPr>
      <w:r w:rsidRPr="0075481A">
        <w:rPr>
          <w:rFonts w:ascii="Times New Roman" w:eastAsia="Calibri" w:hAnsi="Times New Roman" w:cs="Times New Roman"/>
          <w:bCs/>
        </w:rPr>
        <w:t>Ukupna pasiva na kraju 2023. godine iznosi 1.472.386,32 EUR. U sklopu iste udio od 57% ima skupina kapital i rezerve.</w:t>
      </w:r>
    </w:p>
    <w:p w14:paraId="325656AA" w14:textId="77777777" w:rsidR="00E57B75" w:rsidRPr="0075481A" w:rsidRDefault="00E57B75" w:rsidP="00E57B75">
      <w:pPr>
        <w:spacing w:after="0" w:line="276" w:lineRule="auto"/>
        <w:contextualSpacing/>
        <w:jc w:val="both"/>
        <w:rPr>
          <w:rFonts w:ascii="Times New Roman" w:eastAsia="Calibri" w:hAnsi="Times New Roman" w:cs="Times New Roman"/>
          <w:bCs/>
        </w:rPr>
      </w:pPr>
    </w:p>
    <w:p w14:paraId="354784C9" w14:textId="77777777" w:rsidR="00E57B75" w:rsidRPr="0075481A" w:rsidRDefault="00E57B75" w:rsidP="00E57B75">
      <w:pPr>
        <w:spacing w:after="240" w:line="276" w:lineRule="auto"/>
        <w:contextualSpacing/>
        <w:jc w:val="both"/>
        <w:rPr>
          <w:rFonts w:ascii="Times New Roman" w:eastAsia="Calibri" w:hAnsi="Times New Roman" w:cs="Times New Roman"/>
          <w:bCs/>
        </w:rPr>
      </w:pPr>
      <w:r w:rsidRPr="0075481A">
        <w:rPr>
          <w:rFonts w:ascii="Times New Roman" w:eastAsia="Calibri" w:hAnsi="Times New Roman" w:cs="Times New Roman"/>
          <w:bCs/>
        </w:rPr>
        <w:t>Struktura skupine je sljedeća:</w:t>
      </w:r>
    </w:p>
    <w:p w14:paraId="13BDE25F" w14:textId="0A6AF213" w:rsidR="00E57B75" w:rsidRPr="0075481A" w:rsidRDefault="00E57B75" w:rsidP="00E57B75">
      <w:pPr>
        <w:numPr>
          <w:ilvl w:val="0"/>
          <w:numId w:val="3"/>
        </w:numPr>
        <w:spacing w:after="0" w:line="276" w:lineRule="auto"/>
        <w:ind w:left="284" w:hanging="284"/>
        <w:contextualSpacing/>
        <w:jc w:val="both"/>
        <w:rPr>
          <w:rFonts w:ascii="Times New Roman" w:eastAsia="Calibri" w:hAnsi="Times New Roman" w:cs="Times New Roman"/>
          <w:bCs/>
        </w:rPr>
      </w:pPr>
      <w:r w:rsidRPr="0075481A">
        <w:rPr>
          <w:rFonts w:ascii="Times New Roman" w:eastAsia="Calibri" w:hAnsi="Times New Roman" w:cs="Times New Roman"/>
          <w:bCs/>
        </w:rPr>
        <w:t>Upisani temeljni kapital – 174.678,07 EUR</w:t>
      </w:r>
    </w:p>
    <w:p w14:paraId="76A217B2" w14:textId="6D3FAF06" w:rsidR="00E57B75" w:rsidRPr="0075481A" w:rsidRDefault="00E57B75" w:rsidP="00E57B75">
      <w:pPr>
        <w:numPr>
          <w:ilvl w:val="0"/>
          <w:numId w:val="3"/>
        </w:numPr>
        <w:spacing w:after="0" w:line="276" w:lineRule="auto"/>
        <w:ind w:left="284" w:hanging="284"/>
        <w:contextualSpacing/>
        <w:jc w:val="both"/>
        <w:rPr>
          <w:rFonts w:ascii="Times New Roman" w:eastAsia="Calibri" w:hAnsi="Times New Roman" w:cs="Times New Roman"/>
          <w:bCs/>
        </w:rPr>
      </w:pPr>
      <w:r w:rsidRPr="0075481A">
        <w:rPr>
          <w:rFonts w:ascii="Times New Roman" w:eastAsia="Calibri" w:hAnsi="Times New Roman" w:cs="Times New Roman"/>
          <w:bCs/>
        </w:rPr>
        <w:t>Revalorizacijske rezerve i rezerve fer vrijednosti – 115.465,84 EUR</w:t>
      </w:r>
    </w:p>
    <w:p w14:paraId="437408EA" w14:textId="57CDC0F8" w:rsidR="00E57B75" w:rsidRPr="0075481A" w:rsidRDefault="00E57B75" w:rsidP="00E57B75">
      <w:pPr>
        <w:numPr>
          <w:ilvl w:val="0"/>
          <w:numId w:val="3"/>
        </w:numPr>
        <w:spacing w:after="0" w:line="276" w:lineRule="auto"/>
        <w:ind w:left="284" w:hanging="284"/>
        <w:contextualSpacing/>
        <w:jc w:val="both"/>
        <w:rPr>
          <w:rFonts w:ascii="Times New Roman" w:eastAsia="Calibri" w:hAnsi="Times New Roman" w:cs="Times New Roman"/>
          <w:bCs/>
        </w:rPr>
      </w:pPr>
      <w:r w:rsidRPr="0075481A">
        <w:rPr>
          <w:rFonts w:ascii="Times New Roman" w:eastAsia="Calibri" w:hAnsi="Times New Roman" w:cs="Times New Roman"/>
          <w:bCs/>
        </w:rPr>
        <w:t>Zadržana dobit (dobit prijašnjih godina) – 544.280,88 EUR</w:t>
      </w:r>
    </w:p>
    <w:p w14:paraId="5586DF95" w14:textId="0B70DE89" w:rsidR="00E57B75" w:rsidRPr="0075481A" w:rsidRDefault="00E57B75" w:rsidP="00E57B75">
      <w:pPr>
        <w:numPr>
          <w:ilvl w:val="0"/>
          <w:numId w:val="3"/>
        </w:numPr>
        <w:spacing w:after="0" w:line="276" w:lineRule="auto"/>
        <w:ind w:left="284" w:hanging="284"/>
        <w:contextualSpacing/>
        <w:jc w:val="both"/>
        <w:rPr>
          <w:rFonts w:ascii="Times New Roman" w:eastAsia="Calibri" w:hAnsi="Times New Roman" w:cs="Times New Roman"/>
          <w:bCs/>
        </w:rPr>
      </w:pPr>
      <w:r w:rsidRPr="0075481A">
        <w:rPr>
          <w:rFonts w:ascii="Times New Roman" w:eastAsia="Calibri" w:hAnsi="Times New Roman" w:cs="Times New Roman"/>
          <w:bCs/>
        </w:rPr>
        <w:t>Dobit tekuće godine (dobit nakon oporezivanja) – 6.475,08 EUR.</w:t>
      </w:r>
    </w:p>
    <w:p w14:paraId="323C4A85" w14:textId="77777777" w:rsidR="00E57B75" w:rsidRPr="0075481A" w:rsidRDefault="00E57B75" w:rsidP="00E57B75">
      <w:pPr>
        <w:spacing w:after="0" w:line="276" w:lineRule="auto"/>
        <w:contextualSpacing/>
        <w:jc w:val="both"/>
        <w:rPr>
          <w:rFonts w:ascii="Times New Roman" w:eastAsia="Calibri" w:hAnsi="Times New Roman" w:cs="Times New Roman"/>
          <w:bCs/>
        </w:rPr>
      </w:pPr>
    </w:p>
    <w:p w14:paraId="4E039FAA" w14:textId="77777777" w:rsidR="00E57B75" w:rsidRPr="0075481A" w:rsidRDefault="00E57B75" w:rsidP="00E57B75">
      <w:pPr>
        <w:spacing w:after="0" w:line="276" w:lineRule="auto"/>
        <w:contextualSpacing/>
        <w:jc w:val="both"/>
        <w:rPr>
          <w:rFonts w:ascii="Times New Roman" w:eastAsia="Calibri" w:hAnsi="Times New Roman" w:cs="Times New Roman"/>
          <w:bCs/>
        </w:rPr>
      </w:pPr>
      <w:r w:rsidRPr="0075481A">
        <w:rPr>
          <w:rFonts w:ascii="Times New Roman" w:eastAsia="Calibri" w:hAnsi="Times New Roman" w:cs="Times New Roman"/>
          <w:bCs/>
        </w:rPr>
        <w:t>Revalorizacijske rezerve ostale su nepromijenjene u odnosu na prethodnu godinu, a nastale su tijekom 1995. godine prema Zakonskim odredbama.</w:t>
      </w:r>
    </w:p>
    <w:p w14:paraId="7C11244E" w14:textId="77777777" w:rsidR="00E57B75" w:rsidRPr="0075481A" w:rsidRDefault="00E57B75" w:rsidP="00E57B75">
      <w:pPr>
        <w:spacing w:after="0" w:line="276" w:lineRule="auto"/>
        <w:contextualSpacing/>
        <w:jc w:val="both"/>
        <w:rPr>
          <w:rFonts w:ascii="Times New Roman" w:eastAsia="Calibri" w:hAnsi="Times New Roman" w:cs="Times New Roman"/>
          <w:b/>
          <w:color w:val="17365D"/>
        </w:rPr>
      </w:pPr>
    </w:p>
    <w:p w14:paraId="0AF52704" w14:textId="77777777" w:rsidR="00131D13" w:rsidRPr="0075481A" w:rsidRDefault="00131D13" w:rsidP="00131D13">
      <w:pPr>
        <w:spacing w:after="0" w:line="276" w:lineRule="auto"/>
        <w:contextualSpacing/>
        <w:jc w:val="both"/>
        <w:rPr>
          <w:rFonts w:ascii="Times New Roman" w:eastAsia="Calibri" w:hAnsi="Times New Roman" w:cs="Times New Roman"/>
          <w:b/>
          <w:bCs/>
        </w:rPr>
      </w:pPr>
      <w:r w:rsidRPr="0075481A">
        <w:rPr>
          <w:rFonts w:ascii="Times New Roman" w:eastAsia="Calibri" w:hAnsi="Times New Roman" w:cs="Times New Roman"/>
          <w:b/>
          <w:bCs/>
        </w:rPr>
        <w:t>Bilješke 9. Rezerviranja</w:t>
      </w:r>
    </w:p>
    <w:p w14:paraId="7FE9787E" w14:textId="77777777" w:rsidR="003E28E9" w:rsidRPr="0075481A" w:rsidRDefault="003E28E9" w:rsidP="00F42FCB">
      <w:pPr>
        <w:spacing w:after="0" w:line="276" w:lineRule="auto"/>
        <w:contextualSpacing/>
        <w:jc w:val="both"/>
        <w:rPr>
          <w:rFonts w:ascii="Times New Roman" w:eastAsia="Times New Roman" w:hAnsi="Times New Roman" w:cs="Times New Roman"/>
          <w:noProof/>
        </w:rPr>
      </w:pPr>
    </w:p>
    <w:p w14:paraId="57FBADB6" w14:textId="64A415CF" w:rsidR="00E57B75" w:rsidRPr="0075481A" w:rsidRDefault="00E57B75" w:rsidP="00E57B75">
      <w:pPr>
        <w:spacing w:after="0" w:line="276" w:lineRule="auto"/>
        <w:contextualSpacing/>
        <w:jc w:val="both"/>
        <w:rPr>
          <w:rFonts w:ascii="Times New Roman" w:eastAsia="Times New Roman" w:hAnsi="Times New Roman" w:cs="Times New Roman"/>
          <w:noProof/>
        </w:rPr>
      </w:pPr>
      <w:r w:rsidRPr="0075481A">
        <w:rPr>
          <w:rFonts w:ascii="Times New Roman" w:eastAsia="Times New Roman" w:hAnsi="Times New Roman" w:cs="Times New Roman"/>
          <w:noProof/>
        </w:rPr>
        <w:t>U 2023. godini rezervirana su sredstva za otpremnine za mirovinu radnika u iznosu od 20.654,92 EUR.</w:t>
      </w:r>
    </w:p>
    <w:p w14:paraId="05FC2A9B" w14:textId="77777777" w:rsidR="00A81432" w:rsidRDefault="00A81432" w:rsidP="00131D13">
      <w:pPr>
        <w:spacing w:after="0" w:line="276" w:lineRule="auto"/>
        <w:contextualSpacing/>
        <w:jc w:val="both"/>
        <w:rPr>
          <w:rFonts w:ascii="Times New Roman" w:eastAsia="Calibri" w:hAnsi="Times New Roman" w:cs="Times New Roman"/>
          <w:b/>
          <w:bCs/>
        </w:rPr>
      </w:pPr>
    </w:p>
    <w:p w14:paraId="35FB3781" w14:textId="77777777" w:rsidR="00A81432" w:rsidRDefault="00A81432" w:rsidP="00131D13">
      <w:pPr>
        <w:spacing w:after="0" w:line="276" w:lineRule="auto"/>
        <w:contextualSpacing/>
        <w:jc w:val="both"/>
        <w:rPr>
          <w:rFonts w:ascii="Times New Roman" w:eastAsia="Calibri" w:hAnsi="Times New Roman" w:cs="Times New Roman"/>
          <w:b/>
          <w:bCs/>
        </w:rPr>
      </w:pPr>
    </w:p>
    <w:p w14:paraId="018D1660" w14:textId="1CA0116E" w:rsidR="00A81432" w:rsidRPr="00A81432" w:rsidRDefault="00A81432" w:rsidP="00A81432">
      <w:pPr>
        <w:spacing w:after="0" w:line="276" w:lineRule="auto"/>
        <w:contextualSpacing/>
        <w:jc w:val="right"/>
        <w:rPr>
          <w:rFonts w:ascii="Times New Roman" w:eastAsia="Calibri" w:hAnsi="Times New Roman" w:cs="Times New Roman"/>
          <w:bCs/>
        </w:rPr>
      </w:pPr>
      <w:r>
        <w:rPr>
          <w:rFonts w:ascii="Times New Roman" w:eastAsia="Calibri" w:hAnsi="Times New Roman" w:cs="Times New Roman"/>
          <w:bCs/>
        </w:rPr>
        <w:t>8</w:t>
      </w:r>
    </w:p>
    <w:p w14:paraId="17686CD7" w14:textId="77777777" w:rsidR="00131D13" w:rsidRPr="0075481A" w:rsidRDefault="00131D13" w:rsidP="00131D13">
      <w:pPr>
        <w:spacing w:after="0" w:line="276" w:lineRule="auto"/>
        <w:contextualSpacing/>
        <w:jc w:val="both"/>
        <w:rPr>
          <w:rFonts w:ascii="Times New Roman" w:eastAsia="Calibri" w:hAnsi="Times New Roman" w:cs="Times New Roman"/>
          <w:b/>
        </w:rPr>
      </w:pPr>
      <w:r w:rsidRPr="0075481A">
        <w:rPr>
          <w:rFonts w:ascii="Times New Roman" w:eastAsia="Calibri" w:hAnsi="Times New Roman" w:cs="Times New Roman"/>
          <w:b/>
        </w:rPr>
        <w:lastRenderedPageBreak/>
        <w:t>Bilješke 10. Dugoročne obveze</w:t>
      </w:r>
    </w:p>
    <w:p w14:paraId="04D83CDA" w14:textId="77777777" w:rsidR="0078665F" w:rsidRPr="0075481A" w:rsidRDefault="0078665F" w:rsidP="0078665F">
      <w:pPr>
        <w:spacing w:after="0" w:line="276" w:lineRule="auto"/>
        <w:contextualSpacing/>
        <w:jc w:val="both"/>
        <w:rPr>
          <w:rFonts w:ascii="Times New Roman" w:eastAsia="Calibri" w:hAnsi="Times New Roman" w:cs="Times New Roman"/>
        </w:rPr>
      </w:pPr>
    </w:p>
    <w:p w14:paraId="33C877DC" w14:textId="7A640028" w:rsidR="00E57B75" w:rsidRPr="0075481A" w:rsidRDefault="00E57B75" w:rsidP="00E57B75">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 xml:space="preserve">Na dan 31.12.2023. Društvo je evidentiralo 82.841,94 EUR obveza prema bankama i drugim financijskim institucijama. </w:t>
      </w:r>
    </w:p>
    <w:p w14:paraId="35A5CE16" w14:textId="2142D395" w:rsidR="00E57B75" w:rsidRPr="0075481A" w:rsidRDefault="00E57B75" w:rsidP="00E57B75">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Evidentirana obveza odnosi se na podignuti kredit u 2018. godini u ukupnom iznosu od 889.24</w:t>
      </w:r>
      <w:r w:rsidR="00B40BCA" w:rsidRPr="0075481A">
        <w:rPr>
          <w:rFonts w:ascii="Times New Roman" w:eastAsia="Calibri" w:hAnsi="Times New Roman" w:cs="Times New Roman"/>
        </w:rPr>
        <w:t>2,82</w:t>
      </w:r>
      <w:r w:rsidRPr="0075481A">
        <w:rPr>
          <w:rFonts w:ascii="Times New Roman" w:eastAsia="Calibri" w:hAnsi="Times New Roman" w:cs="Times New Roman"/>
        </w:rPr>
        <w:t xml:space="preserve"> EUR u poslovnoj banci ZABA d.d. Zagreb za dugoročno kreditiranje u svrhu financiranja rekonstrukcije i građenja posebne namjene - proširenje Gradskog groblja Monte </w:t>
      </w:r>
      <w:proofErr w:type="spellStart"/>
      <w:r w:rsidRPr="0075481A">
        <w:rPr>
          <w:rFonts w:ascii="Times New Roman" w:eastAsia="Calibri" w:hAnsi="Times New Roman" w:cs="Times New Roman"/>
        </w:rPr>
        <w:t>Ghiro</w:t>
      </w:r>
      <w:proofErr w:type="spellEnd"/>
      <w:r w:rsidRPr="0075481A">
        <w:rPr>
          <w:rFonts w:ascii="Times New Roman" w:eastAsia="Calibri" w:hAnsi="Times New Roman" w:cs="Times New Roman"/>
        </w:rPr>
        <w:t xml:space="preserve"> u Puli 1.FAZA i 2. FAZA. na rok od 10 godina (deset godina) na 120 jednakih mjesečnih rata sa dospijećem posljednjeg dana svakog mjeseca. Kamatna stopa iznosila je 1,60% godišnje promjenjivo, primjenom proporcionalne metode na temelju stvarnog broja dana u kamatnom razdoblju, obračunato na stanje glavnice kredita. Ne naplaćuje se naknada za prijevremeni povrat kredita (djelomično  ili u cijelosti).  Mjesečna otplatna kvota iznosi 7.410</w:t>
      </w:r>
      <w:r w:rsidR="00B40BCA" w:rsidRPr="0075481A">
        <w:rPr>
          <w:rFonts w:ascii="Times New Roman" w:eastAsia="Calibri" w:hAnsi="Times New Roman" w:cs="Times New Roman"/>
        </w:rPr>
        <w:t>,36</w:t>
      </w:r>
      <w:r w:rsidRPr="0075481A">
        <w:rPr>
          <w:rFonts w:ascii="Times New Roman" w:eastAsia="Calibri" w:hAnsi="Times New Roman" w:cs="Times New Roman"/>
        </w:rPr>
        <w:t xml:space="preserve"> EUR plus kamata.</w:t>
      </w:r>
    </w:p>
    <w:p w14:paraId="0EFDF55E" w14:textId="38E6AD3D" w:rsidR="00E57B75" w:rsidRPr="0075481A" w:rsidRDefault="00E57B75" w:rsidP="00E57B75">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U 2023. godini trošak kredita je porastao radi povećanja kamata primjenom promjenjive kamate. Društvo se stoga odlučilo na prijevremenu otplatu glavnice u iznosu 354.369</w:t>
      </w:r>
      <w:r w:rsidR="00B40BCA" w:rsidRPr="0075481A">
        <w:rPr>
          <w:rFonts w:ascii="Times New Roman" w:eastAsia="Calibri" w:hAnsi="Times New Roman" w:cs="Times New Roman"/>
        </w:rPr>
        <w:t>,00</w:t>
      </w:r>
      <w:r w:rsidRPr="0075481A">
        <w:rPr>
          <w:rFonts w:ascii="Times New Roman" w:eastAsia="Calibri" w:hAnsi="Times New Roman" w:cs="Times New Roman"/>
        </w:rPr>
        <w:t xml:space="preserve"> EUR  (88.924</w:t>
      </w:r>
      <w:r w:rsidR="00B40BCA" w:rsidRPr="0075481A">
        <w:rPr>
          <w:rFonts w:ascii="Times New Roman" w:eastAsia="Calibri" w:hAnsi="Times New Roman" w:cs="Times New Roman"/>
        </w:rPr>
        <w:t>,32</w:t>
      </w:r>
      <w:r w:rsidRPr="0075481A">
        <w:rPr>
          <w:rFonts w:ascii="Times New Roman" w:eastAsia="Calibri" w:hAnsi="Times New Roman" w:cs="Times New Roman"/>
        </w:rPr>
        <w:t xml:space="preserve"> EUR tekuće obveze i 265.44</w:t>
      </w:r>
      <w:r w:rsidR="00B40BCA" w:rsidRPr="0075481A">
        <w:rPr>
          <w:rFonts w:ascii="Times New Roman" w:eastAsia="Calibri" w:hAnsi="Times New Roman" w:cs="Times New Roman"/>
        </w:rPr>
        <w:t>4,68</w:t>
      </w:r>
      <w:r w:rsidRPr="0075481A">
        <w:rPr>
          <w:rFonts w:ascii="Times New Roman" w:eastAsia="Calibri" w:hAnsi="Times New Roman" w:cs="Times New Roman"/>
        </w:rPr>
        <w:t xml:space="preserve"> EUR prijevremene otplate), kojim se i smanjio trošak kredita za tekuće i  buduće razdoblje.</w:t>
      </w:r>
    </w:p>
    <w:p w14:paraId="66880E40" w14:textId="77777777" w:rsidR="008675AD" w:rsidRPr="0075481A" w:rsidRDefault="008675AD" w:rsidP="0078665F">
      <w:pPr>
        <w:spacing w:after="0" w:line="276" w:lineRule="auto"/>
        <w:contextualSpacing/>
        <w:jc w:val="both"/>
        <w:rPr>
          <w:rFonts w:ascii="Times New Roman" w:eastAsia="Calibri" w:hAnsi="Times New Roman" w:cs="Times New Roman"/>
        </w:rPr>
      </w:pPr>
    </w:p>
    <w:p w14:paraId="76E9FCEF" w14:textId="77777777" w:rsidR="00131D13" w:rsidRPr="0075481A" w:rsidRDefault="00131D13" w:rsidP="00131D13">
      <w:pPr>
        <w:widowControl w:val="0"/>
        <w:spacing w:after="0" w:line="280" w:lineRule="exact"/>
        <w:jc w:val="both"/>
        <w:rPr>
          <w:rFonts w:ascii="Times New Roman" w:eastAsia="Times New Roman" w:hAnsi="Times New Roman" w:cs="Times New Roman"/>
          <w:b/>
        </w:rPr>
      </w:pPr>
      <w:r w:rsidRPr="0075481A">
        <w:rPr>
          <w:rFonts w:ascii="Times New Roman" w:eastAsia="Times New Roman" w:hAnsi="Times New Roman" w:cs="Times New Roman"/>
          <w:b/>
        </w:rPr>
        <w:t>Bilješka 11. Kratkoročne obveze</w:t>
      </w:r>
    </w:p>
    <w:p w14:paraId="533C362F" w14:textId="77777777" w:rsidR="00B40BCA" w:rsidRPr="0075481A" w:rsidRDefault="00B40BCA" w:rsidP="00131D13">
      <w:pPr>
        <w:widowControl w:val="0"/>
        <w:spacing w:after="0" w:line="280" w:lineRule="exact"/>
        <w:jc w:val="both"/>
        <w:rPr>
          <w:rFonts w:ascii="Times New Roman" w:eastAsia="Times New Roman" w:hAnsi="Times New Roman" w:cs="Times New Roman"/>
          <w:b/>
        </w:rPr>
      </w:pPr>
    </w:p>
    <w:p w14:paraId="11D82F95" w14:textId="47F79160" w:rsidR="00B40BCA" w:rsidRPr="0075481A" w:rsidRDefault="00B40BCA" w:rsidP="00B40BCA">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 xml:space="preserve">Kratkoročne obveze na zadnji dan 2023. godine iznose 338.549,39 EUR te bilježe povećanje vrijednosti od 31% u odnosu na 2022. godinu. </w:t>
      </w:r>
    </w:p>
    <w:p w14:paraId="5B039F33" w14:textId="0966443B" w:rsidR="00B40BCA" w:rsidRPr="0075481A" w:rsidRDefault="00B40BCA" w:rsidP="00B40BCA">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Najznačajnija pozicija unutar istih jesu obveze za kredit ZABE (dio glavnice koja dospijeva u 2024. u iznosu od 89.434,82 EUR),</w:t>
      </w:r>
      <w:r w:rsidRPr="0075481A">
        <w:rPr>
          <w:rFonts w:ascii="Times New Roman" w:eastAsia="Calibri" w:hAnsi="Times New Roman" w:cs="Times New Roman"/>
          <w:color w:val="FF0000"/>
        </w:rPr>
        <w:t xml:space="preserve"> </w:t>
      </w:r>
      <w:r w:rsidRPr="0075481A">
        <w:rPr>
          <w:rFonts w:ascii="Times New Roman" w:eastAsia="Calibri" w:hAnsi="Times New Roman" w:cs="Times New Roman"/>
        </w:rPr>
        <w:t>obveze  prema dobavljačima (94.751,10EUR), zatim slijede obveze za poreze, doprinose i druga javna davanja (84.844,97 EUR), obveze prema radnicima (41.759,42 EUR),  obveze za predujmove (284,26 EUR), te ostale kratkoročne obveze (27.474,82 EUR).</w:t>
      </w:r>
    </w:p>
    <w:p w14:paraId="41E868E3" w14:textId="198C3950" w:rsidR="00B40BCA" w:rsidRPr="0075481A" w:rsidRDefault="00B40BCA" w:rsidP="00B40BCA">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 xml:space="preserve">Obveze prema dobavljačima evidentirane su u iznosu od 94.751,10 EUR što je za 21% više u odnosu na početno stanje. Na dospjele obveze odnosi se iznos od  12.949,10 EUR, a na nedospjele 81.802,00 EUR. </w:t>
      </w:r>
    </w:p>
    <w:p w14:paraId="0C0C9E11" w14:textId="77777777" w:rsidR="00B40BCA" w:rsidRPr="0075481A" w:rsidRDefault="00B40BCA" w:rsidP="00B40BCA">
      <w:pPr>
        <w:spacing w:after="0" w:line="276" w:lineRule="auto"/>
        <w:contextualSpacing/>
        <w:jc w:val="center"/>
        <w:rPr>
          <w:rFonts w:ascii="Times New Roman" w:eastAsia="Calibri" w:hAnsi="Times New Roman" w:cs="Times New Roman"/>
          <w:bCs/>
          <w:i/>
        </w:rPr>
      </w:pPr>
      <w:r w:rsidRPr="0075481A">
        <w:rPr>
          <w:rFonts w:ascii="Times New Roman" w:eastAsia="Calibri" w:hAnsi="Times New Roman" w:cs="Times New Roman"/>
          <w:bCs/>
          <w:i/>
        </w:rPr>
        <w:t>Struktura obveza prema dobavljačima na 31.12.2023. godine</w:t>
      </w:r>
    </w:p>
    <w:p w14:paraId="5B189E3B" w14:textId="77777777" w:rsidR="00B40BCA" w:rsidRPr="0075481A" w:rsidRDefault="00B40BCA" w:rsidP="00B40BCA">
      <w:pPr>
        <w:spacing w:after="0" w:line="276" w:lineRule="auto"/>
        <w:contextualSpacing/>
        <w:jc w:val="center"/>
        <w:rPr>
          <w:rFonts w:ascii="Times New Roman" w:eastAsia="Calibri" w:hAnsi="Times New Roman" w:cs="Times New Roman"/>
          <w:bCs/>
          <w:i/>
        </w:rPr>
      </w:pPr>
    </w:p>
    <w:tbl>
      <w:tblPr>
        <w:tblW w:w="0" w:type="auto"/>
        <w:jc w:val="center"/>
        <w:tblBorders>
          <w:insideH w:val="single" w:sz="18" w:space="0" w:color="FFFFFF"/>
          <w:insideV w:val="single" w:sz="18" w:space="0" w:color="FFFFFF"/>
        </w:tblBorders>
        <w:shd w:val="clear" w:color="auto" w:fill="F2F2F2"/>
        <w:tblLook w:val="04A0" w:firstRow="1" w:lastRow="0" w:firstColumn="1" w:lastColumn="0" w:noHBand="0" w:noVBand="1"/>
      </w:tblPr>
      <w:tblGrid>
        <w:gridCol w:w="2819"/>
        <w:gridCol w:w="2261"/>
        <w:gridCol w:w="1371"/>
        <w:gridCol w:w="1889"/>
      </w:tblGrid>
      <w:tr w:rsidR="00B40BCA" w:rsidRPr="0075481A" w14:paraId="4BCA14DF" w14:textId="77777777" w:rsidTr="00941C67">
        <w:trPr>
          <w:trHeight w:val="283"/>
          <w:jc w:val="center"/>
        </w:trPr>
        <w:tc>
          <w:tcPr>
            <w:tcW w:w="2819" w:type="dxa"/>
            <w:shd w:val="clear" w:color="auto" w:fill="F2F2F2"/>
            <w:vAlign w:val="center"/>
          </w:tcPr>
          <w:p w14:paraId="5A7B3624" w14:textId="77777777" w:rsidR="00B40BCA" w:rsidRPr="0075481A" w:rsidRDefault="00B40BCA" w:rsidP="00B40BCA">
            <w:pPr>
              <w:spacing w:after="0" w:line="276" w:lineRule="auto"/>
              <w:contextualSpacing/>
              <w:jc w:val="center"/>
              <w:rPr>
                <w:rFonts w:ascii="Times New Roman" w:eastAsia="Calibri" w:hAnsi="Times New Roman" w:cs="Times New Roman"/>
                <w:b/>
                <w:bCs/>
              </w:rPr>
            </w:pPr>
            <w:r w:rsidRPr="0075481A">
              <w:rPr>
                <w:rFonts w:ascii="Times New Roman" w:eastAsia="Calibri" w:hAnsi="Times New Roman" w:cs="Times New Roman"/>
                <w:b/>
                <w:bCs/>
              </w:rPr>
              <w:t>Naziv dobavljača</w:t>
            </w:r>
          </w:p>
        </w:tc>
        <w:tc>
          <w:tcPr>
            <w:tcW w:w="2261" w:type="dxa"/>
            <w:shd w:val="clear" w:color="auto" w:fill="F2F2F2"/>
            <w:vAlign w:val="center"/>
          </w:tcPr>
          <w:p w14:paraId="43D8F4D2" w14:textId="77777777" w:rsidR="00B40BCA" w:rsidRPr="0075481A" w:rsidRDefault="00B40BCA" w:rsidP="00B40BCA">
            <w:pPr>
              <w:spacing w:after="0" w:line="276" w:lineRule="auto"/>
              <w:contextualSpacing/>
              <w:jc w:val="center"/>
              <w:rPr>
                <w:rFonts w:ascii="Times New Roman" w:eastAsia="Calibri" w:hAnsi="Times New Roman" w:cs="Times New Roman"/>
                <w:b/>
                <w:bCs/>
              </w:rPr>
            </w:pPr>
            <w:r w:rsidRPr="0075481A">
              <w:rPr>
                <w:rFonts w:ascii="Times New Roman" w:eastAsia="Calibri" w:hAnsi="Times New Roman" w:cs="Times New Roman"/>
                <w:b/>
                <w:bCs/>
              </w:rPr>
              <w:t>Promet</w:t>
            </w:r>
          </w:p>
        </w:tc>
        <w:tc>
          <w:tcPr>
            <w:tcW w:w="1230" w:type="dxa"/>
            <w:shd w:val="clear" w:color="auto" w:fill="F2F2F2"/>
            <w:vAlign w:val="center"/>
          </w:tcPr>
          <w:p w14:paraId="7534EBC9" w14:textId="77777777" w:rsidR="00B40BCA" w:rsidRPr="0075481A" w:rsidRDefault="00B40BCA" w:rsidP="00B40BCA">
            <w:pPr>
              <w:spacing w:after="0" w:line="276" w:lineRule="auto"/>
              <w:contextualSpacing/>
              <w:jc w:val="center"/>
              <w:rPr>
                <w:rFonts w:ascii="Times New Roman" w:eastAsia="Calibri" w:hAnsi="Times New Roman" w:cs="Times New Roman"/>
                <w:b/>
                <w:bCs/>
              </w:rPr>
            </w:pPr>
            <w:r w:rsidRPr="0075481A">
              <w:rPr>
                <w:rFonts w:ascii="Times New Roman" w:eastAsia="Calibri" w:hAnsi="Times New Roman" w:cs="Times New Roman"/>
                <w:b/>
                <w:bCs/>
              </w:rPr>
              <w:t>Podmireno</w:t>
            </w:r>
          </w:p>
        </w:tc>
        <w:tc>
          <w:tcPr>
            <w:tcW w:w="1889" w:type="dxa"/>
            <w:shd w:val="clear" w:color="auto" w:fill="F2F2F2"/>
          </w:tcPr>
          <w:p w14:paraId="0A467383" w14:textId="77777777" w:rsidR="00B40BCA" w:rsidRPr="0075481A" w:rsidRDefault="00B40BCA" w:rsidP="00B40BCA">
            <w:pPr>
              <w:spacing w:after="0" w:line="276" w:lineRule="auto"/>
              <w:contextualSpacing/>
              <w:jc w:val="center"/>
              <w:rPr>
                <w:rFonts w:ascii="Times New Roman" w:eastAsia="Calibri" w:hAnsi="Times New Roman" w:cs="Times New Roman"/>
                <w:b/>
                <w:bCs/>
              </w:rPr>
            </w:pPr>
            <w:r w:rsidRPr="0075481A">
              <w:rPr>
                <w:rFonts w:ascii="Times New Roman" w:eastAsia="Calibri" w:hAnsi="Times New Roman" w:cs="Times New Roman"/>
                <w:b/>
                <w:bCs/>
              </w:rPr>
              <w:t>Stanje obveze na 31.12.</w:t>
            </w:r>
          </w:p>
        </w:tc>
      </w:tr>
      <w:tr w:rsidR="00B40BCA" w:rsidRPr="0075481A" w14:paraId="324955BA" w14:textId="77777777" w:rsidTr="00941C67">
        <w:trPr>
          <w:trHeight w:val="578"/>
          <w:jc w:val="center"/>
        </w:trPr>
        <w:tc>
          <w:tcPr>
            <w:tcW w:w="2819" w:type="dxa"/>
            <w:tcBorders>
              <w:top w:val="single" w:sz="18" w:space="0" w:color="FFFFFF"/>
              <w:left w:val="nil"/>
              <w:bottom w:val="nil"/>
              <w:right w:val="single" w:sz="18" w:space="0" w:color="FFFFFF"/>
            </w:tcBorders>
            <w:shd w:val="clear" w:color="auto" w:fill="auto"/>
          </w:tcPr>
          <w:p w14:paraId="228F9644" w14:textId="77777777" w:rsidR="00B40BCA" w:rsidRPr="0075481A" w:rsidRDefault="00B40BCA" w:rsidP="00B40BCA">
            <w:pPr>
              <w:spacing w:after="0" w:line="276" w:lineRule="auto"/>
              <w:rPr>
                <w:rFonts w:ascii="Times New Roman" w:eastAsia="Calibri" w:hAnsi="Times New Roman" w:cs="Times New Roman"/>
              </w:rPr>
            </w:pPr>
            <w:r w:rsidRPr="0075481A">
              <w:rPr>
                <w:rFonts w:ascii="Times New Roman" w:eastAsia="Calibri" w:hAnsi="Times New Roman" w:cs="Times New Roman"/>
              </w:rPr>
              <w:t>Glas Istre novine d.o.o. Pula i Novi List d.d.</w:t>
            </w:r>
          </w:p>
        </w:tc>
        <w:tc>
          <w:tcPr>
            <w:tcW w:w="2261" w:type="dxa"/>
            <w:tcBorders>
              <w:top w:val="single" w:sz="18" w:space="0" w:color="FFFFFF"/>
              <w:left w:val="single" w:sz="18" w:space="0" w:color="FFFFFF"/>
              <w:bottom w:val="nil"/>
              <w:right w:val="single" w:sz="18" w:space="0" w:color="FFFFFF"/>
            </w:tcBorders>
            <w:shd w:val="clear" w:color="auto" w:fill="auto"/>
          </w:tcPr>
          <w:p w14:paraId="79846DB7" w14:textId="77777777"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67.241</w:t>
            </w:r>
          </w:p>
        </w:tc>
        <w:tc>
          <w:tcPr>
            <w:tcW w:w="1230" w:type="dxa"/>
            <w:tcBorders>
              <w:top w:val="single" w:sz="18" w:space="0" w:color="FFFFFF"/>
              <w:left w:val="single" w:sz="18" w:space="0" w:color="FFFFFF"/>
              <w:bottom w:val="nil"/>
              <w:right w:val="single" w:sz="18" w:space="0" w:color="FFFFFF"/>
            </w:tcBorders>
            <w:shd w:val="clear" w:color="auto" w:fill="auto"/>
          </w:tcPr>
          <w:p w14:paraId="6871FC77" w14:textId="77777777"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64.542</w:t>
            </w:r>
          </w:p>
        </w:tc>
        <w:tc>
          <w:tcPr>
            <w:tcW w:w="1889" w:type="dxa"/>
            <w:tcBorders>
              <w:top w:val="single" w:sz="18" w:space="0" w:color="FFFFFF"/>
              <w:left w:val="single" w:sz="18" w:space="0" w:color="FFFFFF"/>
              <w:bottom w:val="nil"/>
              <w:right w:val="nil"/>
            </w:tcBorders>
            <w:shd w:val="clear" w:color="auto" w:fill="auto"/>
          </w:tcPr>
          <w:p w14:paraId="77EF4C26" w14:textId="77777777"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2.699</w:t>
            </w:r>
          </w:p>
        </w:tc>
      </w:tr>
      <w:tr w:rsidR="00B40BCA" w:rsidRPr="0075481A" w14:paraId="76453EF4" w14:textId="77777777" w:rsidTr="00941C67">
        <w:trPr>
          <w:trHeight w:val="283"/>
          <w:jc w:val="center"/>
        </w:trPr>
        <w:tc>
          <w:tcPr>
            <w:tcW w:w="2819" w:type="dxa"/>
            <w:tcBorders>
              <w:top w:val="nil"/>
              <w:left w:val="nil"/>
              <w:bottom w:val="nil"/>
              <w:right w:val="single" w:sz="18" w:space="0" w:color="FFFFFF"/>
            </w:tcBorders>
            <w:shd w:val="clear" w:color="auto" w:fill="F2F2F2"/>
          </w:tcPr>
          <w:p w14:paraId="426A873A" w14:textId="77777777" w:rsidR="00B40BCA" w:rsidRPr="0075481A" w:rsidRDefault="00B40BCA" w:rsidP="00B40BCA">
            <w:pPr>
              <w:spacing w:after="0" w:line="276" w:lineRule="auto"/>
              <w:rPr>
                <w:rFonts w:ascii="Times New Roman" w:eastAsia="Calibri" w:hAnsi="Times New Roman" w:cs="Times New Roman"/>
              </w:rPr>
            </w:pPr>
            <w:r w:rsidRPr="0075481A">
              <w:rPr>
                <w:rFonts w:ascii="Times New Roman" w:eastAsia="Calibri" w:hAnsi="Times New Roman" w:cs="Times New Roman"/>
              </w:rPr>
              <w:t>EDRA d.o.o. Buzet</w:t>
            </w:r>
          </w:p>
        </w:tc>
        <w:tc>
          <w:tcPr>
            <w:tcW w:w="2261" w:type="dxa"/>
            <w:tcBorders>
              <w:top w:val="nil"/>
              <w:left w:val="single" w:sz="18" w:space="0" w:color="FFFFFF"/>
              <w:bottom w:val="nil"/>
              <w:right w:val="single" w:sz="18" w:space="0" w:color="FFFFFF"/>
            </w:tcBorders>
            <w:shd w:val="clear" w:color="auto" w:fill="F2F2F2"/>
          </w:tcPr>
          <w:p w14:paraId="0BD2A0ED" w14:textId="36DFDB5C"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70.485</w:t>
            </w:r>
            <w:r w:rsidR="00504466" w:rsidRPr="0075481A">
              <w:rPr>
                <w:rFonts w:ascii="Times New Roman" w:eastAsia="Calibri" w:hAnsi="Times New Roman" w:cs="Times New Roman"/>
              </w:rPr>
              <w:t>,02</w:t>
            </w:r>
          </w:p>
        </w:tc>
        <w:tc>
          <w:tcPr>
            <w:tcW w:w="1230" w:type="dxa"/>
            <w:tcBorders>
              <w:top w:val="nil"/>
              <w:left w:val="single" w:sz="18" w:space="0" w:color="FFFFFF"/>
              <w:bottom w:val="nil"/>
              <w:right w:val="single" w:sz="18" w:space="0" w:color="FFFFFF"/>
            </w:tcBorders>
            <w:shd w:val="clear" w:color="auto" w:fill="F2F2F2"/>
          </w:tcPr>
          <w:p w14:paraId="2A746A4F" w14:textId="6D2BA9B4" w:rsidR="00B40BCA" w:rsidRPr="0075481A" w:rsidRDefault="00B40BCA" w:rsidP="00504466">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69.06</w:t>
            </w:r>
            <w:r w:rsidR="00504466" w:rsidRPr="0075481A">
              <w:rPr>
                <w:rFonts w:ascii="Times New Roman" w:eastAsia="Calibri" w:hAnsi="Times New Roman" w:cs="Times New Roman"/>
              </w:rPr>
              <w:t>4,00</w:t>
            </w:r>
          </w:p>
        </w:tc>
        <w:tc>
          <w:tcPr>
            <w:tcW w:w="1889" w:type="dxa"/>
            <w:tcBorders>
              <w:top w:val="nil"/>
              <w:left w:val="single" w:sz="18" w:space="0" w:color="FFFFFF"/>
              <w:bottom w:val="nil"/>
              <w:right w:val="nil"/>
            </w:tcBorders>
            <w:shd w:val="clear" w:color="auto" w:fill="F2F2F2"/>
          </w:tcPr>
          <w:p w14:paraId="4F1F13BE" w14:textId="3D6682C4"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1.421,02</w:t>
            </w:r>
          </w:p>
        </w:tc>
      </w:tr>
      <w:tr w:rsidR="00B40BCA" w:rsidRPr="0075481A" w14:paraId="64E938A5" w14:textId="77777777" w:rsidTr="00941C67">
        <w:trPr>
          <w:trHeight w:val="283"/>
          <w:jc w:val="center"/>
        </w:trPr>
        <w:tc>
          <w:tcPr>
            <w:tcW w:w="2819" w:type="dxa"/>
            <w:tcBorders>
              <w:top w:val="nil"/>
              <w:left w:val="nil"/>
              <w:bottom w:val="nil"/>
              <w:right w:val="single" w:sz="18" w:space="0" w:color="FFFFFF"/>
            </w:tcBorders>
            <w:shd w:val="clear" w:color="auto" w:fill="auto"/>
          </w:tcPr>
          <w:p w14:paraId="598D1C29" w14:textId="77777777" w:rsidR="00B40BCA" w:rsidRPr="0075481A" w:rsidRDefault="00B40BCA" w:rsidP="00B40BCA">
            <w:pPr>
              <w:spacing w:after="0" w:line="276" w:lineRule="auto"/>
              <w:rPr>
                <w:rFonts w:ascii="Times New Roman" w:eastAsia="Calibri" w:hAnsi="Times New Roman" w:cs="Times New Roman"/>
              </w:rPr>
            </w:pPr>
            <w:r w:rsidRPr="0075481A">
              <w:rPr>
                <w:rFonts w:ascii="Times New Roman" w:eastAsia="Calibri" w:hAnsi="Times New Roman" w:cs="Times New Roman"/>
              </w:rPr>
              <w:t>Toma trgovina d.o.o.</w:t>
            </w:r>
          </w:p>
        </w:tc>
        <w:tc>
          <w:tcPr>
            <w:tcW w:w="2261" w:type="dxa"/>
            <w:tcBorders>
              <w:top w:val="nil"/>
              <w:left w:val="single" w:sz="18" w:space="0" w:color="FFFFFF"/>
              <w:bottom w:val="nil"/>
              <w:right w:val="single" w:sz="18" w:space="0" w:color="FFFFFF"/>
            </w:tcBorders>
            <w:shd w:val="clear" w:color="auto" w:fill="auto"/>
          </w:tcPr>
          <w:p w14:paraId="157E451C" w14:textId="00CA383D"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142.088</w:t>
            </w:r>
            <w:r w:rsidR="00504466" w:rsidRPr="0075481A">
              <w:rPr>
                <w:rFonts w:ascii="Times New Roman" w:eastAsia="Calibri" w:hAnsi="Times New Roman" w:cs="Times New Roman"/>
              </w:rPr>
              <w:t>,24</w:t>
            </w:r>
          </w:p>
        </w:tc>
        <w:tc>
          <w:tcPr>
            <w:tcW w:w="1230" w:type="dxa"/>
            <w:tcBorders>
              <w:top w:val="nil"/>
              <w:left w:val="single" w:sz="18" w:space="0" w:color="FFFFFF"/>
              <w:bottom w:val="nil"/>
              <w:right w:val="single" w:sz="18" w:space="0" w:color="FFFFFF"/>
            </w:tcBorders>
            <w:shd w:val="clear" w:color="auto" w:fill="auto"/>
          </w:tcPr>
          <w:p w14:paraId="282E1273" w14:textId="68DC1C9A"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136.094</w:t>
            </w:r>
            <w:r w:rsidR="00504466" w:rsidRPr="0075481A">
              <w:rPr>
                <w:rFonts w:ascii="Times New Roman" w:eastAsia="Calibri" w:hAnsi="Times New Roman" w:cs="Times New Roman"/>
              </w:rPr>
              <w:t>,14</w:t>
            </w:r>
          </w:p>
        </w:tc>
        <w:tc>
          <w:tcPr>
            <w:tcW w:w="1889" w:type="dxa"/>
            <w:tcBorders>
              <w:top w:val="nil"/>
              <w:left w:val="single" w:sz="18" w:space="0" w:color="FFFFFF"/>
              <w:bottom w:val="nil"/>
              <w:right w:val="nil"/>
            </w:tcBorders>
            <w:shd w:val="clear" w:color="auto" w:fill="auto"/>
          </w:tcPr>
          <w:p w14:paraId="0A868000" w14:textId="20B3694E"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5.994,10</w:t>
            </w:r>
          </w:p>
        </w:tc>
      </w:tr>
      <w:tr w:rsidR="00B40BCA" w:rsidRPr="0075481A" w14:paraId="058A3D80" w14:textId="77777777" w:rsidTr="00941C67">
        <w:trPr>
          <w:trHeight w:val="283"/>
          <w:jc w:val="center"/>
        </w:trPr>
        <w:tc>
          <w:tcPr>
            <w:tcW w:w="2819" w:type="dxa"/>
            <w:tcBorders>
              <w:top w:val="nil"/>
              <w:left w:val="nil"/>
              <w:bottom w:val="nil"/>
              <w:right w:val="single" w:sz="18" w:space="0" w:color="FFFFFF"/>
            </w:tcBorders>
            <w:shd w:val="clear" w:color="auto" w:fill="auto"/>
          </w:tcPr>
          <w:p w14:paraId="622EF811" w14:textId="77777777" w:rsidR="00B40BCA" w:rsidRPr="0075481A" w:rsidRDefault="00B40BCA" w:rsidP="00B40BCA">
            <w:pPr>
              <w:spacing w:after="0" w:line="276" w:lineRule="auto"/>
              <w:rPr>
                <w:rFonts w:ascii="Times New Roman" w:eastAsia="Calibri" w:hAnsi="Times New Roman" w:cs="Times New Roman"/>
              </w:rPr>
            </w:pPr>
            <w:r w:rsidRPr="0075481A">
              <w:rPr>
                <w:rFonts w:ascii="Times New Roman" w:eastAsia="Calibri" w:hAnsi="Times New Roman" w:cs="Times New Roman"/>
              </w:rPr>
              <w:t>NET d.o.o.</w:t>
            </w:r>
          </w:p>
        </w:tc>
        <w:tc>
          <w:tcPr>
            <w:tcW w:w="2261" w:type="dxa"/>
            <w:tcBorders>
              <w:top w:val="nil"/>
              <w:left w:val="single" w:sz="18" w:space="0" w:color="FFFFFF"/>
              <w:bottom w:val="nil"/>
              <w:right w:val="single" w:sz="18" w:space="0" w:color="FFFFFF"/>
            </w:tcBorders>
            <w:shd w:val="clear" w:color="auto" w:fill="auto"/>
          </w:tcPr>
          <w:p w14:paraId="3EEF941E" w14:textId="09A14618"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139.942</w:t>
            </w:r>
            <w:r w:rsidR="00504466" w:rsidRPr="0075481A">
              <w:rPr>
                <w:rFonts w:ascii="Times New Roman" w:eastAsia="Calibri" w:hAnsi="Times New Roman" w:cs="Times New Roman"/>
              </w:rPr>
              <w:t>,51</w:t>
            </w:r>
          </w:p>
        </w:tc>
        <w:tc>
          <w:tcPr>
            <w:tcW w:w="1230" w:type="dxa"/>
            <w:tcBorders>
              <w:top w:val="nil"/>
              <w:left w:val="single" w:sz="18" w:space="0" w:color="FFFFFF"/>
              <w:bottom w:val="nil"/>
              <w:right w:val="single" w:sz="18" w:space="0" w:color="FFFFFF"/>
            </w:tcBorders>
            <w:shd w:val="clear" w:color="auto" w:fill="auto"/>
          </w:tcPr>
          <w:p w14:paraId="08122AFA" w14:textId="5F4232BC"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130.820</w:t>
            </w:r>
            <w:r w:rsidR="00504466" w:rsidRPr="0075481A">
              <w:rPr>
                <w:rFonts w:ascii="Times New Roman" w:eastAsia="Calibri" w:hAnsi="Times New Roman" w:cs="Times New Roman"/>
              </w:rPr>
              <w:t>,83</w:t>
            </w:r>
          </w:p>
        </w:tc>
        <w:tc>
          <w:tcPr>
            <w:tcW w:w="1889" w:type="dxa"/>
            <w:tcBorders>
              <w:top w:val="nil"/>
              <w:left w:val="single" w:sz="18" w:space="0" w:color="FFFFFF"/>
              <w:bottom w:val="nil"/>
              <w:right w:val="nil"/>
            </w:tcBorders>
            <w:shd w:val="clear" w:color="auto" w:fill="auto"/>
          </w:tcPr>
          <w:p w14:paraId="3C0777C3" w14:textId="175149B6"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9.121,68</w:t>
            </w:r>
          </w:p>
        </w:tc>
      </w:tr>
      <w:tr w:rsidR="00B40BCA" w:rsidRPr="0075481A" w14:paraId="736D334C" w14:textId="77777777" w:rsidTr="00941C67">
        <w:trPr>
          <w:trHeight w:val="283"/>
          <w:jc w:val="center"/>
        </w:trPr>
        <w:tc>
          <w:tcPr>
            <w:tcW w:w="2819" w:type="dxa"/>
            <w:tcBorders>
              <w:top w:val="nil"/>
              <w:left w:val="nil"/>
              <w:bottom w:val="nil"/>
              <w:right w:val="single" w:sz="18" w:space="0" w:color="FFFFFF"/>
            </w:tcBorders>
            <w:shd w:val="clear" w:color="auto" w:fill="auto"/>
          </w:tcPr>
          <w:p w14:paraId="2365F9D2" w14:textId="77777777" w:rsidR="00B40BCA" w:rsidRPr="0075481A" w:rsidRDefault="00B40BCA" w:rsidP="00B40BCA">
            <w:pPr>
              <w:spacing w:after="0" w:line="276" w:lineRule="auto"/>
              <w:rPr>
                <w:rFonts w:ascii="Times New Roman" w:eastAsia="Calibri" w:hAnsi="Times New Roman" w:cs="Times New Roman"/>
              </w:rPr>
            </w:pPr>
            <w:r w:rsidRPr="0075481A">
              <w:rPr>
                <w:rFonts w:ascii="Times New Roman" w:eastAsia="Calibri" w:hAnsi="Times New Roman" w:cs="Times New Roman"/>
              </w:rPr>
              <w:t>VITA FLOS d.o.o.</w:t>
            </w:r>
          </w:p>
        </w:tc>
        <w:tc>
          <w:tcPr>
            <w:tcW w:w="2261" w:type="dxa"/>
            <w:tcBorders>
              <w:top w:val="nil"/>
              <w:left w:val="single" w:sz="18" w:space="0" w:color="FFFFFF"/>
              <w:bottom w:val="nil"/>
              <w:right w:val="single" w:sz="18" w:space="0" w:color="FFFFFF"/>
            </w:tcBorders>
            <w:shd w:val="clear" w:color="auto" w:fill="auto"/>
          </w:tcPr>
          <w:p w14:paraId="1A2DA81C" w14:textId="0B0ABA7F"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282.123</w:t>
            </w:r>
            <w:r w:rsidR="00504466" w:rsidRPr="0075481A">
              <w:rPr>
                <w:rFonts w:ascii="Times New Roman" w:eastAsia="Calibri" w:hAnsi="Times New Roman" w:cs="Times New Roman"/>
              </w:rPr>
              <w:t>,08</w:t>
            </w:r>
          </w:p>
        </w:tc>
        <w:tc>
          <w:tcPr>
            <w:tcW w:w="1230" w:type="dxa"/>
            <w:tcBorders>
              <w:top w:val="nil"/>
              <w:left w:val="single" w:sz="18" w:space="0" w:color="FFFFFF"/>
              <w:bottom w:val="nil"/>
              <w:right w:val="single" w:sz="18" w:space="0" w:color="FFFFFF"/>
            </w:tcBorders>
            <w:shd w:val="clear" w:color="auto" w:fill="auto"/>
          </w:tcPr>
          <w:p w14:paraId="64970433" w14:textId="35A16152"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262.906</w:t>
            </w:r>
            <w:r w:rsidR="00504466" w:rsidRPr="0075481A">
              <w:rPr>
                <w:rFonts w:ascii="Times New Roman" w:eastAsia="Calibri" w:hAnsi="Times New Roman" w:cs="Times New Roman"/>
              </w:rPr>
              <w:t>,05</w:t>
            </w:r>
          </w:p>
        </w:tc>
        <w:tc>
          <w:tcPr>
            <w:tcW w:w="1889" w:type="dxa"/>
            <w:tcBorders>
              <w:top w:val="nil"/>
              <w:left w:val="single" w:sz="18" w:space="0" w:color="FFFFFF"/>
              <w:bottom w:val="nil"/>
              <w:right w:val="nil"/>
            </w:tcBorders>
            <w:shd w:val="clear" w:color="auto" w:fill="auto"/>
          </w:tcPr>
          <w:p w14:paraId="1089040D" w14:textId="2485905A"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19.217,03</w:t>
            </w:r>
          </w:p>
        </w:tc>
      </w:tr>
      <w:tr w:rsidR="00B40BCA" w:rsidRPr="0075481A" w14:paraId="5B628814" w14:textId="77777777" w:rsidTr="00941C67">
        <w:trPr>
          <w:trHeight w:val="283"/>
          <w:jc w:val="center"/>
        </w:trPr>
        <w:tc>
          <w:tcPr>
            <w:tcW w:w="2819" w:type="dxa"/>
            <w:tcBorders>
              <w:top w:val="nil"/>
              <w:left w:val="nil"/>
              <w:bottom w:val="nil"/>
              <w:right w:val="single" w:sz="18" w:space="0" w:color="FFFFFF"/>
            </w:tcBorders>
            <w:shd w:val="clear" w:color="auto" w:fill="auto"/>
          </w:tcPr>
          <w:p w14:paraId="3F55DCE0" w14:textId="77777777" w:rsidR="00B40BCA" w:rsidRPr="0075481A" w:rsidRDefault="00B40BCA" w:rsidP="00B40BCA">
            <w:pPr>
              <w:spacing w:after="0" w:line="276" w:lineRule="auto"/>
              <w:rPr>
                <w:rFonts w:ascii="Times New Roman" w:eastAsia="Calibri" w:hAnsi="Times New Roman" w:cs="Times New Roman"/>
              </w:rPr>
            </w:pPr>
            <w:r w:rsidRPr="0075481A">
              <w:rPr>
                <w:rFonts w:ascii="Times New Roman" w:eastAsia="Calibri" w:hAnsi="Times New Roman" w:cs="Times New Roman"/>
              </w:rPr>
              <w:t>EVOL d.o.o.</w:t>
            </w:r>
          </w:p>
        </w:tc>
        <w:tc>
          <w:tcPr>
            <w:tcW w:w="2261" w:type="dxa"/>
            <w:tcBorders>
              <w:top w:val="nil"/>
              <w:left w:val="single" w:sz="18" w:space="0" w:color="FFFFFF"/>
              <w:bottom w:val="nil"/>
              <w:right w:val="single" w:sz="18" w:space="0" w:color="FFFFFF"/>
            </w:tcBorders>
            <w:shd w:val="clear" w:color="auto" w:fill="auto"/>
          </w:tcPr>
          <w:p w14:paraId="5C07575D" w14:textId="4B412F63" w:rsidR="00B40BCA" w:rsidRPr="0075481A" w:rsidRDefault="00504466"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35.654,93</w:t>
            </w:r>
          </w:p>
        </w:tc>
        <w:tc>
          <w:tcPr>
            <w:tcW w:w="1230" w:type="dxa"/>
            <w:tcBorders>
              <w:top w:val="nil"/>
              <w:left w:val="single" w:sz="18" w:space="0" w:color="FFFFFF"/>
              <w:bottom w:val="nil"/>
              <w:right w:val="single" w:sz="18" w:space="0" w:color="FFFFFF"/>
            </w:tcBorders>
            <w:shd w:val="clear" w:color="auto" w:fill="auto"/>
          </w:tcPr>
          <w:p w14:paraId="20AF6A65" w14:textId="589C18EB" w:rsidR="00B40BCA" w:rsidRPr="0075481A" w:rsidRDefault="00B40BCA" w:rsidP="00504466">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34.24</w:t>
            </w:r>
            <w:r w:rsidR="00504466" w:rsidRPr="0075481A">
              <w:rPr>
                <w:rFonts w:ascii="Times New Roman" w:eastAsia="Calibri" w:hAnsi="Times New Roman" w:cs="Times New Roman"/>
              </w:rPr>
              <w:t>3,48</w:t>
            </w:r>
          </w:p>
        </w:tc>
        <w:tc>
          <w:tcPr>
            <w:tcW w:w="1889" w:type="dxa"/>
            <w:tcBorders>
              <w:top w:val="nil"/>
              <w:left w:val="single" w:sz="18" w:space="0" w:color="FFFFFF"/>
              <w:bottom w:val="nil"/>
              <w:right w:val="nil"/>
            </w:tcBorders>
            <w:shd w:val="clear" w:color="auto" w:fill="auto"/>
          </w:tcPr>
          <w:p w14:paraId="049175D8" w14:textId="32FFA03E"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1.411,45</w:t>
            </w:r>
          </w:p>
        </w:tc>
      </w:tr>
      <w:tr w:rsidR="00B40BCA" w:rsidRPr="0075481A" w14:paraId="2C17D19D" w14:textId="77777777" w:rsidTr="00941C67">
        <w:trPr>
          <w:trHeight w:val="283"/>
          <w:jc w:val="center"/>
        </w:trPr>
        <w:tc>
          <w:tcPr>
            <w:tcW w:w="2819" w:type="dxa"/>
            <w:tcBorders>
              <w:top w:val="nil"/>
              <w:left w:val="nil"/>
              <w:bottom w:val="nil"/>
              <w:right w:val="single" w:sz="18" w:space="0" w:color="FFFFFF"/>
            </w:tcBorders>
            <w:shd w:val="clear" w:color="auto" w:fill="auto"/>
          </w:tcPr>
          <w:p w14:paraId="6E0B5256" w14:textId="77777777" w:rsidR="00B40BCA" w:rsidRPr="0075481A" w:rsidRDefault="00B40BCA" w:rsidP="00B40BCA">
            <w:pPr>
              <w:spacing w:after="0" w:line="276" w:lineRule="auto"/>
              <w:rPr>
                <w:rFonts w:ascii="Times New Roman" w:eastAsia="Calibri" w:hAnsi="Times New Roman" w:cs="Times New Roman"/>
              </w:rPr>
            </w:pPr>
            <w:r w:rsidRPr="0075481A">
              <w:rPr>
                <w:rFonts w:ascii="Times New Roman" w:eastAsia="Calibri" w:hAnsi="Times New Roman" w:cs="Times New Roman"/>
              </w:rPr>
              <w:t>REPRO d.o.o.</w:t>
            </w:r>
          </w:p>
        </w:tc>
        <w:tc>
          <w:tcPr>
            <w:tcW w:w="2261" w:type="dxa"/>
            <w:tcBorders>
              <w:top w:val="nil"/>
              <w:left w:val="single" w:sz="18" w:space="0" w:color="FFFFFF"/>
              <w:bottom w:val="nil"/>
              <w:right w:val="single" w:sz="18" w:space="0" w:color="FFFFFF"/>
            </w:tcBorders>
            <w:shd w:val="clear" w:color="auto" w:fill="auto"/>
          </w:tcPr>
          <w:p w14:paraId="43629CBC" w14:textId="7774D7BE"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28.808</w:t>
            </w:r>
            <w:r w:rsidR="00504466" w:rsidRPr="0075481A">
              <w:rPr>
                <w:rFonts w:ascii="Times New Roman" w:eastAsia="Calibri" w:hAnsi="Times New Roman" w:cs="Times New Roman"/>
              </w:rPr>
              <w:t>,16</w:t>
            </w:r>
          </w:p>
        </w:tc>
        <w:tc>
          <w:tcPr>
            <w:tcW w:w="1230" w:type="dxa"/>
            <w:tcBorders>
              <w:top w:val="nil"/>
              <w:left w:val="single" w:sz="18" w:space="0" w:color="FFFFFF"/>
              <w:bottom w:val="nil"/>
              <w:right w:val="single" w:sz="18" w:space="0" w:color="FFFFFF"/>
            </w:tcBorders>
            <w:shd w:val="clear" w:color="auto" w:fill="auto"/>
          </w:tcPr>
          <w:p w14:paraId="3923BCED" w14:textId="107E2C7D" w:rsidR="00B40BCA" w:rsidRPr="0075481A" w:rsidRDefault="00B40BCA" w:rsidP="00504466">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25.89</w:t>
            </w:r>
            <w:r w:rsidR="00504466" w:rsidRPr="0075481A">
              <w:rPr>
                <w:rFonts w:ascii="Times New Roman" w:eastAsia="Calibri" w:hAnsi="Times New Roman" w:cs="Times New Roman"/>
              </w:rPr>
              <w:t>5,80</w:t>
            </w:r>
          </w:p>
        </w:tc>
        <w:tc>
          <w:tcPr>
            <w:tcW w:w="1889" w:type="dxa"/>
            <w:tcBorders>
              <w:top w:val="nil"/>
              <w:left w:val="single" w:sz="18" w:space="0" w:color="FFFFFF"/>
              <w:bottom w:val="nil"/>
              <w:right w:val="nil"/>
            </w:tcBorders>
            <w:shd w:val="clear" w:color="auto" w:fill="auto"/>
          </w:tcPr>
          <w:p w14:paraId="2B13A7C4" w14:textId="13B3324F"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2.912,36</w:t>
            </w:r>
          </w:p>
        </w:tc>
      </w:tr>
      <w:tr w:rsidR="00B40BCA" w:rsidRPr="0075481A" w14:paraId="732D9BF1" w14:textId="77777777" w:rsidTr="00941C67">
        <w:trPr>
          <w:trHeight w:val="283"/>
          <w:jc w:val="center"/>
        </w:trPr>
        <w:tc>
          <w:tcPr>
            <w:tcW w:w="2819" w:type="dxa"/>
            <w:tcBorders>
              <w:top w:val="nil"/>
              <w:left w:val="nil"/>
              <w:bottom w:val="nil"/>
              <w:right w:val="single" w:sz="18" w:space="0" w:color="FFFFFF"/>
            </w:tcBorders>
            <w:shd w:val="clear" w:color="auto" w:fill="F2F2F2"/>
          </w:tcPr>
          <w:p w14:paraId="28D12B7C" w14:textId="77777777" w:rsidR="00B40BCA" w:rsidRPr="0075481A" w:rsidRDefault="00B40BCA" w:rsidP="00B40BCA">
            <w:pPr>
              <w:spacing w:after="0" w:line="276" w:lineRule="auto"/>
              <w:rPr>
                <w:rFonts w:ascii="Times New Roman" w:eastAsia="Calibri" w:hAnsi="Times New Roman" w:cs="Times New Roman"/>
              </w:rPr>
            </w:pPr>
            <w:r w:rsidRPr="0075481A">
              <w:rPr>
                <w:rFonts w:ascii="Times New Roman" w:eastAsia="Calibri" w:hAnsi="Times New Roman" w:cs="Times New Roman"/>
              </w:rPr>
              <w:t>Ostali</w:t>
            </w:r>
          </w:p>
        </w:tc>
        <w:tc>
          <w:tcPr>
            <w:tcW w:w="2261" w:type="dxa"/>
            <w:tcBorders>
              <w:top w:val="nil"/>
              <w:left w:val="single" w:sz="18" w:space="0" w:color="FFFFFF"/>
              <w:bottom w:val="nil"/>
              <w:right w:val="single" w:sz="18" w:space="0" w:color="FFFFFF"/>
            </w:tcBorders>
            <w:shd w:val="clear" w:color="auto" w:fill="F2F2F2"/>
          </w:tcPr>
          <w:p w14:paraId="7B7DF767" w14:textId="537D63EB"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578.769</w:t>
            </w:r>
            <w:r w:rsidR="00504466" w:rsidRPr="0075481A">
              <w:rPr>
                <w:rFonts w:ascii="Times New Roman" w:eastAsia="Calibri" w:hAnsi="Times New Roman" w:cs="Times New Roman"/>
              </w:rPr>
              <w:t>,51</w:t>
            </w:r>
          </w:p>
        </w:tc>
        <w:tc>
          <w:tcPr>
            <w:tcW w:w="1230" w:type="dxa"/>
            <w:tcBorders>
              <w:top w:val="nil"/>
              <w:left w:val="single" w:sz="18" w:space="0" w:color="FFFFFF"/>
              <w:bottom w:val="nil"/>
              <w:right w:val="single" w:sz="18" w:space="0" w:color="FFFFFF"/>
            </w:tcBorders>
            <w:shd w:val="clear" w:color="auto" w:fill="F2F2F2"/>
          </w:tcPr>
          <w:p w14:paraId="2A8935F0" w14:textId="19FF9846" w:rsidR="00B40BCA" w:rsidRPr="0075481A" w:rsidRDefault="00B40BCA" w:rsidP="00504466">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524.09</w:t>
            </w:r>
            <w:r w:rsidR="00504466" w:rsidRPr="0075481A">
              <w:rPr>
                <w:rFonts w:ascii="Times New Roman" w:eastAsia="Calibri" w:hAnsi="Times New Roman" w:cs="Times New Roman"/>
              </w:rPr>
              <w:t>6,05</w:t>
            </w:r>
          </w:p>
        </w:tc>
        <w:tc>
          <w:tcPr>
            <w:tcW w:w="1889" w:type="dxa"/>
            <w:tcBorders>
              <w:top w:val="nil"/>
              <w:left w:val="single" w:sz="18" w:space="0" w:color="FFFFFF"/>
              <w:bottom w:val="nil"/>
              <w:right w:val="nil"/>
            </w:tcBorders>
            <w:shd w:val="clear" w:color="auto" w:fill="F2F2F2"/>
          </w:tcPr>
          <w:p w14:paraId="6CE6F40E" w14:textId="0AE5C9B3" w:rsidR="00B40BCA" w:rsidRPr="0075481A" w:rsidRDefault="00B40BCA" w:rsidP="00B40BCA">
            <w:pPr>
              <w:spacing w:after="0" w:line="276" w:lineRule="auto"/>
              <w:jc w:val="center"/>
              <w:rPr>
                <w:rFonts w:ascii="Times New Roman" w:eastAsia="Calibri" w:hAnsi="Times New Roman" w:cs="Times New Roman"/>
              </w:rPr>
            </w:pPr>
            <w:r w:rsidRPr="0075481A">
              <w:rPr>
                <w:rFonts w:ascii="Times New Roman" w:eastAsia="Calibri" w:hAnsi="Times New Roman" w:cs="Times New Roman"/>
              </w:rPr>
              <w:t>54.673,46</w:t>
            </w:r>
          </w:p>
        </w:tc>
      </w:tr>
      <w:tr w:rsidR="00B40BCA" w:rsidRPr="0075481A" w14:paraId="3ECE3C2A" w14:textId="77777777" w:rsidTr="00941C67">
        <w:trPr>
          <w:trHeight w:val="283"/>
          <w:jc w:val="center"/>
        </w:trPr>
        <w:tc>
          <w:tcPr>
            <w:tcW w:w="2819" w:type="dxa"/>
            <w:tcBorders>
              <w:top w:val="nil"/>
              <w:left w:val="nil"/>
              <w:bottom w:val="nil"/>
              <w:right w:val="single" w:sz="18" w:space="0" w:color="FFFFFF"/>
            </w:tcBorders>
            <w:shd w:val="clear" w:color="auto" w:fill="D9D9D9"/>
          </w:tcPr>
          <w:p w14:paraId="37C46B41" w14:textId="77777777" w:rsidR="00B40BCA" w:rsidRPr="0075481A" w:rsidRDefault="00B40BCA" w:rsidP="00B40BCA">
            <w:pPr>
              <w:spacing w:after="0" w:line="276" w:lineRule="auto"/>
              <w:rPr>
                <w:rFonts w:ascii="Times New Roman" w:eastAsia="Calibri" w:hAnsi="Times New Roman" w:cs="Times New Roman"/>
                <w:b/>
              </w:rPr>
            </w:pPr>
            <w:r w:rsidRPr="0075481A">
              <w:rPr>
                <w:rFonts w:ascii="Times New Roman" w:eastAsia="Calibri" w:hAnsi="Times New Roman" w:cs="Times New Roman"/>
                <w:b/>
              </w:rPr>
              <w:t>UKUPNO / KN</w:t>
            </w:r>
          </w:p>
        </w:tc>
        <w:tc>
          <w:tcPr>
            <w:tcW w:w="2261" w:type="dxa"/>
            <w:tcBorders>
              <w:top w:val="nil"/>
              <w:left w:val="single" w:sz="18" w:space="0" w:color="FFFFFF"/>
              <w:bottom w:val="nil"/>
              <w:right w:val="single" w:sz="18" w:space="0" w:color="FFFFFF"/>
            </w:tcBorders>
            <w:shd w:val="clear" w:color="auto" w:fill="D9D9D9"/>
          </w:tcPr>
          <w:p w14:paraId="05537C73" w14:textId="408DC3FC" w:rsidR="00B40BCA" w:rsidRPr="0075481A" w:rsidRDefault="00B40BCA" w:rsidP="00504466">
            <w:pPr>
              <w:spacing w:after="0" w:line="276" w:lineRule="auto"/>
              <w:jc w:val="center"/>
              <w:rPr>
                <w:rFonts w:ascii="Times New Roman" w:eastAsia="Calibri" w:hAnsi="Times New Roman" w:cs="Times New Roman"/>
                <w:b/>
              </w:rPr>
            </w:pPr>
            <w:r w:rsidRPr="0075481A">
              <w:rPr>
                <w:rFonts w:ascii="Times New Roman" w:eastAsia="Calibri" w:hAnsi="Times New Roman" w:cs="Times New Roman"/>
                <w:b/>
              </w:rPr>
              <w:t>1.277.87</w:t>
            </w:r>
            <w:r w:rsidR="00504466" w:rsidRPr="0075481A">
              <w:rPr>
                <w:rFonts w:ascii="Times New Roman" w:eastAsia="Calibri" w:hAnsi="Times New Roman" w:cs="Times New Roman"/>
                <w:b/>
              </w:rPr>
              <w:t>1,45</w:t>
            </w:r>
          </w:p>
        </w:tc>
        <w:tc>
          <w:tcPr>
            <w:tcW w:w="1230" w:type="dxa"/>
            <w:tcBorders>
              <w:top w:val="nil"/>
              <w:left w:val="single" w:sz="18" w:space="0" w:color="FFFFFF"/>
              <w:bottom w:val="nil"/>
              <w:right w:val="single" w:sz="18" w:space="0" w:color="FFFFFF"/>
            </w:tcBorders>
            <w:shd w:val="clear" w:color="auto" w:fill="D9D9D9"/>
          </w:tcPr>
          <w:p w14:paraId="6EDA0777" w14:textId="6BA37A81" w:rsidR="00B40BCA" w:rsidRPr="0075481A" w:rsidRDefault="00B40BCA" w:rsidP="00504466">
            <w:pPr>
              <w:spacing w:after="0" w:line="276" w:lineRule="auto"/>
              <w:jc w:val="center"/>
              <w:rPr>
                <w:rFonts w:ascii="Times New Roman" w:eastAsia="Calibri" w:hAnsi="Times New Roman" w:cs="Times New Roman"/>
                <w:b/>
              </w:rPr>
            </w:pPr>
            <w:r w:rsidRPr="0075481A">
              <w:rPr>
                <w:rFonts w:ascii="Times New Roman" w:eastAsia="Calibri" w:hAnsi="Times New Roman" w:cs="Times New Roman"/>
                <w:b/>
              </w:rPr>
              <w:t>1.183.1</w:t>
            </w:r>
            <w:r w:rsidR="00504466" w:rsidRPr="0075481A">
              <w:rPr>
                <w:rFonts w:ascii="Times New Roman" w:eastAsia="Calibri" w:hAnsi="Times New Roman" w:cs="Times New Roman"/>
                <w:b/>
              </w:rPr>
              <w:t>20,35</w:t>
            </w:r>
          </w:p>
        </w:tc>
        <w:tc>
          <w:tcPr>
            <w:tcW w:w="1889" w:type="dxa"/>
            <w:tcBorders>
              <w:top w:val="nil"/>
              <w:left w:val="single" w:sz="18" w:space="0" w:color="FFFFFF"/>
              <w:bottom w:val="nil"/>
              <w:right w:val="nil"/>
            </w:tcBorders>
            <w:shd w:val="clear" w:color="auto" w:fill="D9D9D9"/>
          </w:tcPr>
          <w:p w14:paraId="3D5D4935" w14:textId="337F8037" w:rsidR="00B40BCA" w:rsidRPr="0075481A" w:rsidRDefault="00B40BCA" w:rsidP="00B40BCA">
            <w:pPr>
              <w:spacing w:after="0" w:line="276" w:lineRule="auto"/>
              <w:jc w:val="center"/>
              <w:rPr>
                <w:rFonts w:ascii="Times New Roman" w:eastAsia="Calibri" w:hAnsi="Times New Roman" w:cs="Times New Roman"/>
                <w:b/>
              </w:rPr>
            </w:pPr>
            <w:r w:rsidRPr="0075481A">
              <w:rPr>
                <w:rFonts w:ascii="Times New Roman" w:eastAsia="Calibri" w:hAnsi="Times New Roman" w:cs="Times New Roman"/>
                <w:b/>
              </w:rPr>
              <w:t>94.751,10</w:t>
            </w:r>
          </w:p>
        </w:tc>
      </w:tr>
    </w:tbl>
    <w:p w14:paraId="08E6DCCC" w14:textId="77777777" w:rsidR="00B40BCA" w:rsidRDefault="00B40BCA" w:rsidP="00B40BCA">
      <w:pPr>
        <w:spacing w:after="0" w:line="276" w:lineRule="auto"/>
        <w:contextualSpacing/>
        <w:jc w:val="both"/>
        <w:rPr>
          <w:rFonts w:ascii="Times New Roman" w:eastAsia="Calibri" w:hAnsi="Times New Roman" w:cs="Times New Roman"/>
        </w:rPr>
      </w:pPr>
    </w:p>
    <w:p w14:paraId="22F6E34E" w14:textId="2C2B6111" w:rsidR="00A81432" w:rsidRDefault="00A81432" w:rsidP="00A81432">
      <w:pPr>
        <w:spacing w:after="0" w:line="276" w:lineRule="auto"/>
        <w:contextualSpacing/>
        <w:jc w:val="right"/>
        <w:rPr>
          <w:rFonts w:ascii="Times New Roman" w:eastAsia="Calibri" w:hAnsi="Times New Roman" w:cs="Times New Roman"/>
        </w:rPr>
      </w:pPr>
      <w:r>
        <w:rPr>
          <w:rFonts w:ascii="Times New Roman" w:eastAsia="Calibri" w:hAnsi="Times New Roman" w:cs="Times New Roman"/>
        </w:rPr>
        <w:t>9</w:t>
      </w:r>
    </w:p>
    <w:p w14:paraId="747AF58F" w14:textId="77777777" w:rsidR="00A81432" w:rsidRPr="0075481A" w:rsidRDefault="00A81432" w:rsidP="00B40BCA">
      <w:pPr>
        <w:spacing w:after="0" w:line="276" w:lineRule="auto"/>
        <w:contextualSpacing/>
        <w:jc w:val="both"/>
        <w:rPr>
          <w:rFonts w:ascii="Times New Roman" w:eastAsia="Calibri" w:hAnsi="Times New Roman" w:cs="Times New Roman"/>
        </w:rPr>
      </w:pPr>
    </w:p>
    <w:p w14:paraId="1BB120CE" w14:textId="795E48DE" w:rsidR="00B40BCA" w:rsidRPr="0075481A" w:rsidRDefault="00B40BCA" w:rsidP="00B40BCA">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Obveze za poreze, doprinose i druga javna davanja  na 31.12.2023. godine su iznosile 84.84</w:t>
      </w:r>
      <w:r w:rsidR="00644F61" w:rsidRPr="0075481A">
        <w:rPr>
          <w:rFonts w:ascii="Times New Roman" w:eastAsia="Calibri" w:hAnsi="Times New Roman" w:cs="Times New Roman"/>
        </w:rPr>
        <w:t>4,97</w:t>
      </w:r>
      <w:r w:rsidRPr="0075481A">
        <w:rPr>
          <w:rFonts w:ascii="Times New Roman" w:eastAsia="Calibri" w:hAnsi="Times New Roman" w:cs="Times New Roman"/>
        </w:rPr>
        <w:t xml:space="preserve"> EUR te kao takve bilježe povećanje za 102% u odnosu na 2022 . godinu. U strukturi spomenute pozicije najveći udio od 70% čine obveze za PDV u iznosu od 59.44</w:t>
      </w:r>
      <w:r w:rsidR="00EC17A3" w:rsidRPr="0075481A">
        <w:rPr>
          <w:rFonts w:ascii="Times New Roman" w:eastAsia="Calibri" w:hAnsi="Times New Roman" w:cs="Times New Roman"/>
        </w:rPr>
        <w:t>6,52</w:t>
      </w:r>
      <w:r w:rsidRPr="0075481A">
        <w:rPr>
          <w:rFonts w:ascii="Times New Roman" w:eastAsia="Calibri" w:hAnsi="Times New Roman" w:cs="Times New Roman"/>
        </w:rPr>
        <w:t xml:space="preserve"> EUR.  Kao što smo na poziciji potraživanja spomenuli da je sa danom 01.01.2023. godine Društvo prešlo na primjenu postupka oporezivanja PDV-a prema naplaćenim naknadama, te obveza PDV-a nastaje na dan primitka plaćanja potraživanja. </w:t>
      </w:r>
    </w:p>
    <w:p w14:paraId="75443621" w14:textId="77777777" w:rsidR="00B40BCA" w:rsidRPr="0075481A" w:rsidRDefault="00B40BCA" w:rsidP="00B40BCA">
      <w:pPr>
        <w:autoSpaceDE w:val="0"/>
        <w:autoSpaceDN w:val="0"/>
        <w:adjustRightInd w:val="0"/>
        <w:spacing w:after="0" w:line="276" w:lineRule="auto"/>
        <w:jc w:val="both"/>
        <w:rPr>
          <w:rFonts w:ascii="Times New Roman" w:eastAsia="Times New Roman" w:hAnsi="Times New Roman" w:cs="Times New Roman"/>
          <w:lang w:eastAsia="hr-HR"/>
        </w:rPr>
      </w:pPr>
    </w:p>
    <w:p w14:paraId="316107D6" w14:textId="623A2747" w:rsidR="00131D13" w:rsidRDefault="005708B4" w:rsidP="00131D13">
      <w:pPr>
        <w:spacing w:after="0" w:line="276" w:lineRule="auto"/>
        <w:contextualSpacing/>
        <w:jc w:val="both"/>
        <w:rPr>
          <w:rFonts w:ascii="Times New Roman" w:eastAsia="Calibri" w:hAnsi="Times New Roman" w:cs="Times New Roman"/>
          <w:b/>
        </w:rPr>
      </w:pPr>
      <w:r>
        <w:rPr>
          <w:rFonts w:ascii="Times New Roman" w:eastAsia="Calibri" w:hAnsi="Times New Roman" w:cs="Times New Roman"/>
          <w:b/>
        </w:rPr>
        <w:t>B</w:t>
      </w:r>
      <w:r w:rsidR="00131D13" w:rsidRPr="0075481A">
        <w:rPr>
          <w:rFonts w:ascii="Times New Roman" w:eastAsia="Calibri" w:hAnsi="Times New Roman" w:cs="Times New Roman"/>
          <w:b/>
        </w:rPr>
        <w:t>ilješka 12. Odgođeno plaćanje troškova i prihoda budućeg razdoblja</w:t>
      </w:r>
    </w:p>
    <w:p w14:paraId="6C01C6FA" w14:textId="77777777" w:rsidR="005708B4" w:rsidRPr="0075481A" w:rsidRDefault="005708B4" w:rsidP="00131D13">
      <w:pPr>
        <w:spacing w:after="0" w:line="276" w:lineRule="auto"/>
        <w:contextualSpacing/>
        <w:jc w:val="both"/>
        <w:rPr>
          <w:rFonts w:ascii="Times New Roman" w:eastAsia="Calibri" w:hAnsi="Times New Roman" w:cs="Times New Roman"/>
          <w:b/>
        </w:rPr>
      </w:pPr>
    </w:p>
    <w:p w14:paraId="776822B9" w14:textId="2E98A74F" w:rsidR="00EC17A3" w:rsidRPr="0075481A" w:rsidRDefault="00EC17A3" w:rsidP="00EC17A3">
      <w:pPr>
        <w:spacing w:after="0" w:line="276" w:lineRule="auto"/>
        <w:jc w:val="both"/>
        <w:rPr>
          <w:rFonts w:ascii="Times New Roman" w:eastAsia="Calibri" w:hAnsi="Times New Roman" w:cs="Times New Roman"/>
        </w:rPr>
      </w:pPr>
      <w:r w:rsidRPr="0075481A">
        <w:rPr>
          <w:rFonts w:ascii="Times New Roman" w:eastAsia="Calibri" w:hAnsi="Times New Roman" w:cs="Times New Roman"/>
        </w:rPr>
        <w:t>U okviru skupine pasivnih vremenskih razgraničenja evidentiran je iznos od 189.440,20 EUR, koji se odnosi na saldo dotacije od Grada Pule za financiranje investicije proširenja Gradskog groblja u Puli koji se postepeno isključuje s ove pozicije i priznaje u prihode prema obračunu amortizacije na ulaganja u  tuđu imovinu. U 2023. godini bilježimo iznos od 25.255,92 EUR evidentirano na poziciji prihoda od potpora. U skupini vremenskih razgraničenja evidentiran je iznos od 38.932,25 EUR obračunatog troška za neiskorišteni godišnji odmor iz 2023. godine, a koji će se koristiti do 30.06.2024. godine.</w:t>
      </w:r>
    </w:p>
    <w:p w14:paraId="1737953B"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6EBBE8A1" w14:textId="77777777" w:rsidR="00A81432" w:rsidRPr="0075481A" w:rsidRDefault="00A81432" w:rsidP="00A81432">
      <w:pPr>
        <w:widowControl w:val="0"/>
        <w:spacing w:after="0" w:line="280" w:lineRule="exact"/>
        <w:jc w:val="both"/>
        <w:rPr>
          <w:rFonts w:ascii="Times New Roman" w:eastAsia="Times New Roman" w:hAnsi="Times New Roman" w:cs="Times New Roman"/>
          <w:b/>
        </w:rPr>
      </w:pPr>
      <w:r w:rsidRPr="0075481A">
        <w:rPr>
          <w:rFonts w:ascii="Times New Roman" w:eastAsia="Times New Roman" w:hAnsi="Times New Roman" w:cs="Times New Roman"/>
          <w:b/>
        </w:rPr>
        <w:t xml:space="preserve">Bilješka 13. </w:t>
      </w:r>
      <w:proofErr w:type="spellStart"/>
      <w:r w:rsidRPr="0075481A">
        <w:rPr>
          <w:rFonts w:ascii="Times New Roman" w:eastAsia="Times New Roman" w:hAnsi="Times New Roman" w:cs="Times New Roman"/>
          <w:b/>
        </w:rPr>
        <w:t>Izvanbilančni</w:t>
      </w:r>
      <w:proofErr w:type="spellEnd"/>
      <w:r w:rsidRPr="0075481A">
        <w:rPr>
          <w:rFonts w:ascii="Times New Roman" w:eastAsia="Times New Roman" w:hAnsi="Times New Roman" w:cs="Times New Roman"/>
          <w:b/>
        </w:rPr>
        <w:t xml:space="preserve"> zapisi</w:t>
      </w:r>
    </w:p>
    <w:p w14:paraId="39D85669" w14:textId="77777777" w:rsidR="00A81432" w:rsidRPr="0075481A" w:rsidRDefault="00A81432" w:rsidP="00A81432">
      <w:pPr>
        <w:widowControl w:val="0"/>
        <w:spacing w:after="0" w:line="280" w:lineRule="exact"/>
        <w:jc w:val="both"/>
        <w:rPr>
          <w:rFonts w:ascii="Times New Roman" w:eastAsia="Times New Roman" w:hAnsi="Times New Roman" w:cs="Times New Roman"/>
          <w:b/>
        </w:rPr>
      </w:pPr>
    </w:p>
    <w:tbl>
      <w:tblPr>
        <w:tblW w:w="8789" w:type="dxa"/>
        <w:tblInd w:w="108" w:type="dxa"/>
        <w:tblLayout w:type="fixed"/>
        <w:tblLook w:val="0000" w:firstRow="0" w:lastRow="0" w:firstColumn="0" w:lastColumn="0" w:noHBand="0" w:noVBand="0"/>
      </w:tblPr>
      <w:tblGrid>
        <w:gridCol w:w="5387"/>
        <w:gridCol w:w="1701"/>
        <w:gridCol w:w="1701"/>
      </w:tblGrid>
      <w:tr w:rsidR="00A81432" w:rsidRPr="0075481A" w14:paraId="24C00872" w14:textId="77777777" w:rsidTr="00D80B39">
        <w:trPr>
          <w:trHeight w:val="288"/>
        </w:trPr>
        <w:tc>
          <w:tcPr>
            <w:tcW w:w="5387" w:type="dxa"/>
            <w:tcBorders>
              <w:bottom w:val="single" w:sz="4" w:space="0" w:color="auto"/>
            </w:tcBorders>
            <w:vAlign w:val="bottom"/>
          </w:tcPr>
          <w:p w14:paraId="3B77BF9B" w14:textId="77777777" w:rsidR="00A81432" w:rsidRPr="0075481A" w:rsidRDefault="00A81432" w:rsidP="00D80B39">
            <w:pPr>
              <w:spacing w:after="0" w:line="240" w:lineRule="auto"/>
              <w:rPr>
                <w:rFonts w:ascii="Times New Roman" w:eastAsia="Times New Roman" w:hAnsi="Times New Roman" w:cs="Times New Roman"/>
                <w:b/>
                <w:bCs/>
                <w:lang w:eastAsia="hr-HR"/>
              </w:rPr>
            </w:pPr>
            <w:r w:rsidRPr="0075481A">
              <w:rPr>
                <w:rFonts w:ascii="Times New Roman" w:eastAsia="Times New Roman" w:hAnsi="Times New Roman" w:cs="Times New Roman"/>
                <w:b/>
                <w:bCs/>
                <w:lang w:eastAsia="hr-HR"/>
              </w:rPr>
              <w:t xml:space="preserve">Naziv </w:t>
            </w:r>
          </w:p>
        </w:tc>
        <w:tc>
          <w:tcPr>
            <w:tcW w:w="1701" w:type="dxa"/>
            <w:tcBorders>
              <w:bottom w:val="single" w:sz="4" w:space="0" w:color="auto"/>
            </w:tcBorders>
          </w:tcPr>
          <w:p w14:paraId="7BFE5F64" w14:textId="77777777" w:rsidR="00A81432" w:rsidRPr="0075481A" w:rsidRDefault="00A81432" w:rsidP="00D80B39">
            <w:pPr>
              <w:spacing w:after="0" w:line="240" w:lineRule="auto"/>
              <w:jc w:val="right"/>
              <w:rPr>
                <w:rFonts w:ascii="Times New Roman" w:eastAsia="Times New Roman" w:hAnsi="Times New Roman" w:cs="Times New Roman"/>
                <w:b/>
                <w:bCs/>
              </w:rPr>
            </w:pPr>
            <w:r w:rsidRPr="0075481A">
              <w:rPr>
                <w:rFonts w:ascii="Times New Roman" w:eastAsia="Times New Roman" w:hAnsi="Times New Roman" w:cs="Times New Roman"/>
                <w:b/>
                <w:bCs/>
              </w:rPr>
              <w:t>2022.</w:t>
            </w:r>
          </w:p>
        </w:tc>
        <w:tc>
          <w:tcPr>
            <w:tcW w:w="1701" w:type="dxa"/>
            <w:tcBorders>
              <w:bottom w:val="single" w:sz="4" w:space="0" w:color="auto"/>
            </w:tcBorders>
          </w:tcPr>
          <w:p w14:paraId="689E8778" w14:textId="77777777" w:rsidR="00A81432" w:rsidRPr="0075481A" w:rsidRDefault="00A81432" w:rsidP="00D80B39">
            <w:pPr>
              <w:spacing w:after="0" w:line="240" w:lineRule="auto"/>
              <w:jc w:val="right"/>
              <w:rPr>
                <w:rFonts w:ascii="Times New Roman" w:eastAsia="Times New Roman" w:hAnsi="Times New Roman" w:cs="Times New Roman"/>
                <w:b/>
                <w:bCs/>
              </w:rPr>
            </w:pPr>
            <w:r w:rsidRPr="0075481A">
              <w:rPr>
                <w:rFonts w:ascii="Times New Roman" w:eastAsia="Times New Roman" w:hAnsi="Times New Roman" w:cs="Times New Roman"/>
                <w:b/>
                <w:bCs/>
              </w:rPr>
              <w:t>2023.</w:t>
            </w:r>
          </w:p>
        </w:tc>
      </w:tr>
      <w:tr w:rsidR="00A81432" w:rsidRPr="0075481A" w14:paraId="79DB1990" w14:textId="77777777" w:rsidTr="00D80B39">
        <w:tc>
          <w:tcPr>
            <w:tcW w:w="5387" w:type="dxa"/>
            <w:tcBorders>
              <w:top w:val="single" w:sz="4" w:space="0" w:color="auto"/>
            </w:tcBorders>
            <w:vAlign w:val="bottom"/>
          </w:tcPr>
          <w:p w14:paraId="7610CEEF" w14:textId="77777777" w:rsidR="00A81432" w:rsidRPr="0075481A" w:rsidRDefault="00A81432" w:rsidP="00D80B39">
            <w:pPr>
              <w:spacing w:after="0" w:line="240" w:lineRule="auto"/>
              <w:rPr>
                <w:rFonts w:ascii="Times New Roman" w:eastAsia="Times New Roman" w:hAnsi="Times New Roman" w:cs="Times New Roman"/>
              </w:rPr>
            </w:pPr>
          </w:p>
          <w:p w14:paraId="7DDF98A3" w14:textId="77777777" w:rsidR="00A81432" w:rsidRPr="0075481A" w:rsidRDefault="00A81432" w:rsidP="00D80B39">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 xml:space="preserve">Roba u komisiji </w:t>
            </w:r>
          </w:p>
        </w:tc>
        <w:tc>
          <w:tcPr>
            <w:tcW w:w="1701" w:type="dxa"/>
            <w:tcBorders>
              <w:top w:val="single" w:sz="4" w:space="0" w:color="auto"/>
            </w:tcBorders>
            <w:vAlign w:val="bottom"/>
          </w:tcPr>
          <w:p w14:paraId="05EFA220"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1.941,34</w:t>
            </w:r>
          </w:p>
        </w:tc>
        <w:tc>
          <w:tcPr>
            <w:tcW w:w="1701" w:type="dxa"/>
            <w:tcBorders>
              <w:top w:val="single" w:sz="4" w:space="0" w:color="auto"/>
            </w:tcBorders>
            <w:vAlign w:val="bottom"/>
          </w:tcPr>
          <w:p w14:paraId="552B514F"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2.239,65</w:t>
            </w:r>
          </w:p>
        </w:tc>
      </w:tr>
      <w:tr w:rsidR="00A81432" w:rsidRPr="0075481A" w14:paraId="3AD41BED" w14:textId="77777777" w:rsidTr="00D80B39">
        <w:tc>
          <w:tcPr>
            <w:tcW w:w="5387" w:type="dxa"/>
            <w:vAlign w:val="bottom"/>
          </w:tcPr>
          <w:p w14:paraId="6570AFA8" w14:textId="77777777" w:rsidR="00A81432" w:rsidRPr="0075481A" w:rsidRDefault="00A81432" w:rsidP="00D80B39">
            <w:pPr>
              <w:spacing w:after="0" w:line="240" w:lineRule="auto"/>
              <w:rPr>
                <w:rFonts w:ascii="Times New Roman" w:eastAsia="Times New Roman" w:hAnsi="Times New Roman" w:cs="Times New Roman"/>
              </w:rPr>
            </w:pPr>
          </w:p>
          <w:p w14:paraId="2F0FB419" w14:textId="77777777" w:rsidR="00A81432" w:rsidRPr="0075481A" w:rsidRDefault="00A81432" w:rsidP="00D80B39">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Oprema u komisiji</w:t>
            </w:r>
          </w:p>
        </w:tc>
        <w:tc>
          <w:tcPr>
            <w:tcW w:w="1701" w:type="dxa"/>
            <w:vAlign w:val="bottom"/>
          </w:tcPr>
          <w:p w14:paraId="087CE46C"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630,38</w:t>
            </w:r>
          </w:p>
        </w:tc>
        <w:tc>
          <w:tcPr>
            <w:tcW w:w="1701" w:type="dxa"/>
            <w:vAlign w:val="bottom"/>
          </w:tcPr>
          <w:p w14:paraId="3A53C5B2"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630,38</w:t>
            </w:r>
          </w:p>
        </w:tc>
      </w:tr>
      <w:tr w:rsidR="00A81432" w:rsidRPr="0075481A" w14:paraId="7F37DEE8" w14:textId="77777777" w:rsidTr="00D80B39">
        <w:tc>
          <w:tcPr>
            <w:tcW w:w="5387" w:type="dxa"/>
            <w:vAlign w:val="bottom"/>
          </w:tcPr>
          <w:p w14:paraId="764019E7" w14:textId="77777777" w:rsidR="00A81432" w:rsidRPr="0075481A" w:rsidRDefault="00A81432" w:rsidP="00D80B39">
            <w:pPr>
              <w:spacing w:after="0" w:line="240" w:lineRule="auto"/>
              <w:rPr>
                <w:rFonts w:ascii="Times New Roman" w:eastAsia="Times New Roman" w:hAnsi="Times New Roman" w:cs="Times New Roman"/>
              </w:rPr>
            </w:pPr>
          </w:p>
          <w:p w14:paraId="142EA5B6" w14:textId="77777777" w:rsidR="00A81432" w:rsidRPr="0075481A" w:rsidRDefault="00A81432" w:rsidP="00D80B39">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Zemljište – gradsko  groblje Pula</w:t>
            </w:r>
          </w:p>
        </w:tc>
        <w:tc>
          <w:tcPr>
            <w:tcW w:w="1701" w:type="dxa"/>
            <w:vAlign w:val="bottom"/>
          </w:tcPr>
          <w:p w14:paraId="5C97F515"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675.244,58</w:t>
            </w:r>
          </w:p>
        </w:tc>
        <w:tc>
          <w:tcPr>
            <w:tcW w:w="1701" w:type="dxa"/>
            <w:vAlign w:val="bottom"/>
          </w:tcPr>
          <w:p w14:paraId="4CA208C9"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675.244,58</w:t>
            </w:r>
          </w:p>
        </w:tc>
      </w:tr>
      <w:tr w:rsidR="00A81432" w:rsidRPr="0075481A" w14:paraId="045DE51D" w14:textId="77777777" w:rsidTr="00D80B39">
        <w:tc>
          <w:tcPr>
            <w:tcW w:w="5387" w:type="dxa"/>
            <w:vAlign w:val="bottom"/>
          </w:tcPr>
          <w:p w14:paraId="1D6F6CF5" w14:textId="77777777" w:rsidR="00A81432" w:rsidRPr="0075481A" w:rsidRDefault="00A81432" w:rsidP="00D80B39">
            <w:pPr>
              <w:spacing w:after="0" w:line="240" w:lineRule="auto"/>
              <w:rPr>
                <w:rFonts w:ascii="Times New Roman" w:eastAsia="Times New Roman" w:hAnsi="Times New Roman" w:cs="Times New Roman"/>
              </w:rPr>
            </w:pPr>
          </w:p>
          <w:p w14:paraId="56B3C473" w14:textId="77777777" w:rsidR="00A81432" w:rsidRPr="0075481A" w:rsidRDefault="00A81432" w:rsidP="00D80B39">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 xml:space="preserve">Zemljište – groblje </w:t>
            </w:r>
            <w:proofErr w:type="spellStart"/>
            <w:r w:rsidRPr="0075481A">
              <w:rPr>
                <w:rFonts w:ascii="Times New Roman" w:eastAsia="Times New Roman" w:hAnsi="Times New Roman" w:cs="Times New Roman"/>
              </w:rPr>
              <w:t>Štinjan</w:t>
            </w:r>
            <w:proofErr w:type="spellEnd"/>
          </w:p>
        </w:tc>
        <w:tc>
          <w:tcPr>
            <w:tcW w:w="1701" w:type="dxa"/>
            <w:vAlign w:val="bottom"/>
          </w:tcPr>
          <w:p w14:paraId="49845AA0"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84.817,11</w:t>
            </w:r>
          </w:p>
        </w:tc>
        <w:tc>
          <w:tcPr>
            <w:tcW w:w="1701" w:type="dxa"/>
            <w:vAlign w:val="bottom"/>
          </w:tcPr>
          <w:p w14:paraId="759586B6"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84.817,11</w:t>
            </w:r>
          </w:p>
        </w:tc>
      </w:tr>
      <w:tr w:rsidR="00A81432" w:rsidRPr="0075481A" w14:paraId="60684EE9" w14:textId="77777777" w:rsidTr="00D80B39">
        <w:tc>
          <w:tcPr>
            <w:tcW w:w="5387" w:type="dxa"/>
            <w:vAlign w:val="bottom"/>
          </w:tcPr>
          <w:p w14:paraId="212B39B7" w14:textId="77777777" w:rsidR="00A81432" w:rsidRPr="0075481A" w:rsidRDefault="00A81432" w:rsidP="00D80B39">
            <w:pPr>
              <w:spacing w:after="0" w:line="240" w:lineRule="auto"/>
              <w:rPr>
                <w:rFonts w:ascii="Times New Roman" w:eastAsia="Times New Roman" w:hAnsi="Times New Roman" w:cs="Times New Roman"/>
              </w:rPr>
            </w:pPr>
          </w:p>
          <w:p w14:paraId="1251F375" w14:textId="77777777" w:rsidR="00A81432" w:rsidRPr="0075481A" w:rsidRDefault="00A81432" w:rsidP="00D80B39">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Građevine na gradskom groblju u Puli</w:t>
            </w:r>
          </w:p>
        </w:tc>
        <w:tc>
          <w:tcPr>
            <w:tcW w:w="1701" w:type="dxa"/>
            <w:vAlign w:val="bottom"/>
          </w:tcPr>
          <w:p w14:paraId="6CF5780A"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136.246,20</w:t>
            </w:r>
          </w:p>
        </w:tc>
        <w:tc>
          <w:tcPr>
            <w:tcW w:w="1701" w:type="dxa"/>
            <w:vAlign w:val="bottom"/>
          </w:tcPr>
          <w:p w14:paraId="200AFBBD" w14:textId="77777777" w:rsidR="00A81432" w:rsidRPr="0075481A" w:rsidRDefault="00A81432" w:rsidP="00D80B39">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136.246,20</w:t>
            </w:r>
          </w:p>
        </w:tc>
      </w:tr>
      <w:tr w:rsidR="00A81432" w:rsidRPr="0075481A" w14:paraId="243DEC2F" w14:textId="77777777" w:rsidTr="00D80B39">
        <w:tc>
          <w:tcPr>
            <w:tcW w:w="5387" w:type="dxa"/>
            <w:vAlign w:val="bottom"/>
          </w:tcPr>
          <w:p w14:paraId="1CA824E7" w14:textId="77777777" w:rsidR="00A81432" w:rsidRPr="0075481A" w:rsidRDefault="00A81432" w:rsidP="00D80B39">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Ukupno</w:t>
            </w:r>
          </w:p>
        </w:tc>
        <w:tc>
          <w:tcPr>
            <w:tcW w:w="1701" w:type="dxa"/>
            <w:vAlign w:val="bottom"/>
          </w:tcPr>
          <w:p w14:paraId="799C66BD" w14:textId="77777777" w:rsidR="00A81432" w:rsidRPr="0075481A" w:rsidRDefault="00A81432" w:rsidP="00D80B39">
            <w:pPr>
              <w:spacing w:after="0" w:line="240" w:lineRule="auto"/>
              <w:jc w:val="right"/>
              <w:rPr>
                <w:rFonts w:ascii="Times New Roman" w:eastAsia="Times New Roman" w:hAnsi="Times New Roman" w:cs="Times New Roman"/>
                <w:b/>
                <w:u w:val="double"/>
              </w:rPr>
            </w:pPr>
          </w:p>
          <w:p w14:paraId="001E630A" w14:textId="77777777" w:rsidR="00A81432" w:rsidRPr="0075481A" w:rsidRDefault="00A81432" w:rsidP="00D80B39">
            <w:pPr>
              <w:spacing w:after="0" w:line="240" w:lineRule="auto"/>
              <w:jc w:val="right"/>
              <w:rPr>
                <w:rFonts w:ascii="Times New Roman" w:eastAsia="Times New Roman" w:hAnsi="Times New Roman" w:cs="Times New Roman"/>
                <w:b/>
                <w:u w:val="double"/>
              </w:rPr>
            </w:pPr>
            <w:r w:rsidRPr="0075481A">
              <w:rPr>
                <w:rFonts w:ascii="Times New Roman" w:eastAsia="Times New Roman" w:hAnsi="Times New Roman" w:cs="Times New Roman"/>
                <w:b/>
                <w:u w:val="double"/>
              </w:rPr>
              <w:t>899.145,13</w:t>
            </w:r>
          </w:p>
        </w:tc>
        <w:tc>
          <w:tcPr>
            <w:tcW w:w="1701" w:type="dxa"/>
            <w:vAlign w:val="bottom"/>
          </w:tcPr>
          <w:p w14:paraId="28CA2C35" w14:textId="77777777" w:rsidR="00A81432" w:rsidRPr="0075481A" w:rsidRDefault="00A81432" w:rsidP="00D80B39">
            <w:pPr>
              <w:spacing w:after="0" w:line="240" w:lineRule="auto"/>
              <w:jc w:val="right"/>
              <w:rPr>
                <w:rFonts w:ascii="Times New Roman" w:eastAsia="Times New Roman" w:hAnsi="Times New Roman" w:cs="Times New Roman"/>
                <w:b/>
                <w:u w:val="double"/>
              </w:rPr>
            </w:pPr>
          </w:p>
          <w:p w14:paraId="6F0EC239" w14:textId="77777777" w:rsidR="00A81432" w:rsidRPr="0075481A" w:rsidRDefault="00A81432" w:rsidP="00D80B39">
            <w:pPr>
              <w:spacing w:after="0" w:line="240" w:lineRule="auto"/>
              <w:jc w:val="right"/>
              <w:rPr>
                <w:rFonts w:ascii="Times New Roman" w:eastAsia="Times New Roman" w:hAnsi="Times New Roman" w:cs="Times New Roman"/>
                <w:b/>
                <w:u w:val="double"/>
              </w:rPr>
            </w:pPr>
            <w:r w:rsidRPr="0075481A">
              <w:rPr>
                <w:rFonts w:ascii="Times New Roman" w:eastAsia="Times New Roman" w:hAnsi="Times New Roman" w:cs="Times New Roman"/>
                <w:b/>
                <w:u w:val="double"/>
              </w:rPr>
              <w:t>899.177,92</w:t>
            </w:r>
          </w:p>
        </w:tc>
      </w:tr>
    </w:tbl>
    <w:p w14:paraId="769A9B11" w14:textId="77777777" w:rsidR="00A81432" w:rsidRPr="0075481A" w:rsidRDefault="00A81432" w:rsidP="00A81432">
      <w:pPr>
        <w:widowControl w:val="0"/>
        <w:spacing w:after="0" w:line="280" w:lineRule="exact"/>
        <w:jc w:val="both"/>
        <w:rPr>
          <w:rFonts w:ascii="Times New Roman" w:eastAsia="Times New Roman" w:hAnsi="Times New Roman" w:cs="Times New Roman"/>
          <w:b/>
        </w:rPr>
      </w:pPr>
    </w:p>
    <w:p w14:paraId="243BCCC5" w14:textId="77777777" w:rsidR="00A81432" w:rsidRPr="0075481A" w:rsidRDefault="00A81432" w:rsidP="00A81432">
      <w:pPr>
        <w:spacing w:after="0" w:line="240" w:lineRule="auto"/>
        <w:jc w:val="right"/>
        <w:rPr>
          <w:rFonts w:ascii="Times New Roman" w:eastAsia="Times New Roman" w:hAnsi="Times New Roman" w:cs="Times New Roman"/>
        </w:rPr>
      </w:pPr>
    </w:p>
    <w:p w14:paraId="252B6321" w14:textId="77777777" w:rsidR="00A81432" w:rsidRPr="0075481A" w:rsidRDefault="00A81432" w:rsidP="00A81432">
      <w:pPr>
        <w:spacing w:after="0" w:line="240" w:lineRule="auto"/>
        <w:jc w:val="both"/>
        <w:rPr>
          <w:rFonts w:ascii="Times New Roman" w:eastAsia="Times New Roman" w:hAnsi="Times New Roman" w:cs="Times New Roman"/>
        </w:rPr>
      </w:pPr>
      <w:r w:rsidRPr="0075481A">
        <w:rPr>
          <w:rFonts w:ascii="Times New Roman" w:eastAsia="Times New Roman" w:hAnsi="Times New Roman" w:cs="Times New Roman"/>
        </w:rPr>
        <w:t>U vanbilančnoj evidenciji iskazana je vrijednost robe primljene u komisiju, te temeljem odredbi Zakona o grobljima ukupna vrijednost zemljišta i zgrada vlasništvo lokalne samouprave koja je dana na upravljanje Društvu.</w:t>
      </w:r>
    </w:p>
    <w:p w14:paraId="7ECCB8FE" w14:textId="77777777" w:rsidR="00A81432" w:rsidRDefault="00A81432" w:rsidP="00A81432">
      <w:pPr>
        <w:spacing w:after="0" w:line="276" w:lineRule="auto"/>
        <w:rPr>
          <w:rFonts w:ascii="Times New Roman" w:eastAsia="Calibri" w:hAnsi="Times New Roman" w:cs="Times New Roman"/>
          <w:b/>
          <w:noProof/>
          <w:color w:val="FF0000"/>
          <w:kern w:val="3"/>
          <w:lang w:eastAsia="hr-HR"/>
        </w:rPr>
      </w:pPr>
    </w:p>
    <w:p w14:paraId="0EE1F72A"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0DD3C8B9"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10C8191B"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6777E79D"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7DFD64D2"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7D11D6FA"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30713D6A"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034DEA72"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5F27D035" w14:textId="0C86C05C" w:rsidR="00A81432" w:rsidRPr="002A1944" w:rsidRDefault="00A81432" w:rsidP="008675AD">
      <w:pPr>
        <w:spacing w:after="0" w:line="276" w:lineRule="auto"/>
        <w:jc w:val="right"/>
        <w:rPr>
          <w:rFonts w:ascii="Times New Roman" w:eastAsia="Calibri" w:hAnsi="Times New Roman" w:cs="Times New Roman"/>
          <w:noProof/>
          <w:kern w:val="3"/>
          <w:lang w:eastAsia="hr-HR"/>
        </w:rPr>
      </w:pPr>
      <w:bookmarkStart w:id="0" w:name="_GoBack"/>
      <w:r w:rsidRPr="002A1944">
        <w:rPr>
          <w:rFonts w:ascii="Times New Roman" w:eastAsia="Calibri" w:hAnsi="Times New Roman" w:cs="Times New Roman"/>
          <w:noProof/>
          <w:kern w:val="3"/>
          <w:lang w:eastAsia="hr-HR"/>
        </w:rPr>
        <w:t>10</w:t>
      </w:r>
    </w:p>
    <w:bookmarkEnd w:id="0"/>
    <w:p w14:paraId="156B7553" w14:textId="77777777" w:rsidR="00A81432" w:rsidRDefault="00A81432" w:rsidP="008675AD">
      <w:pPr>
        <w:spacing w:after="0" w:line="276" w:lineRule="auto"/>
        <w:jc w:val="right"/>
        <w:rPr>
          <w:rFonts w:ascii="Times New Roman" w:eastAsia="Calibri" w:hAnsi="Times New Roman" w:cs="Times New Roman"/>
          <w:b/>
          <w:noProof/>
          <w:color w:val="FF0000"/>
          <w:kern w:val="3"/>
          <w:lang w:eastAsia="hr-HR"/>
        </w:rPr>
      </w:pPr>
    </w:p>
    <w:p w14:paraId="7B6893D1" w14:textId="725AB9AE" w:rsidR="00131D13" w:rsidRPr="0075481A" w:rsidRDefault="00131D13" w:rsidP="00763305">
      <w:pPr>
        <w:widowControl w:val="0"/>
        <w:spacing w:after="0" w:line="280" w:lineRule="exact"/>
        <w:rPr>
          <w:rFonts w:ascii="Times New Roman" w:eastAsia="Times New Roman" w:hAnsi="Times New Roman" w:cs="Times New Roman"/>
        </w:rPr>
      </w:pPr>
      <w:r w:rsidRPr="0075481A">
        <w:rPr>
          <w:rFonts w:ascii="Times New Roman" w:eastAsia="Times New Roman" w:hAnsi="Times New Roman" w:cs="Times New Roman"/>
        </w:rPr>
        <w:t xml:space="preserve">                                                                                                                                  </w:t>
      </w:r>
    </w:p>
    <w:p w14:paraId="2A5F7B2C" w14:textId="0828E2C8" w:rsidR="00A16F70" w:rsidRPr="0075481A" w:rsidRDefault="00665E67" w:rsidP="00131D13">
      <w:pPr>
        <w:spacing w:after="0" w:line="240" w:lineRule="auto"/>
        <w:jc w:val="both"/>
        <w:rPr>
          <w:rFonts w:ascii="Times New Roman" w:eastAsia="Times New Roman" w:hAnsi="Times New Roman" w:cs="Times New Roman"/>
          <w:b/>
        </w:rPr>
      </w:pPr>
      <w:r w:rsidRPr="0075481A">
        <w:rPr>
          <w:rFonts w:ascii="Times New Roman" w:eastAsia="Times New Roman" w:hAnsi="Times New Roman" w:cs="Times New Roman"/>
          <w:b/>
        </w:rPr>
        <w:t>RAČIN DOBITI I GUBITKA</w:t>
      </w:r>
      <w:r w:rsidR="00131D13" w:rsidRPr="0075481A">
        <w:rPr>
          <w:rFonts w:ascii="Times New Roman" w:eastAsia="Times New Roman" w:hAnsi="Times New Roman" w:cs="Times New Roman"/>
        </w:rPr>
        <w:tab/>
      </w:r>
      <w:r w:rsidR="00131D13" w:rsidRPr="0075481A">
        <w:rPr>
          <w:rFonts w:ascii="Times New Roman" w:eastAsia="Times New Roman" w:hAnsi="Times New Roman" w:cs="Times New Roman"/>
        </w:rPr>
        <w:tab/>
      </w:r>
      <w:r w:rsidR="00131D13" w:rsidRPr="0075481A">
        <w:rPr>
          <w:rFonts w:ascii="Times New Roman" w:eastAsia="Times New Roman" w:hAnsi="Times New Roman" w:cs="Times New Roman"/>
        </w:rPr>
        <w:tab/>
      </w:r>
      <w:r w:rsidR="00131D13" w:rsidRPr="0075481A">
        <w:rPr>
          <w:rFonts w:ascii="Times New Roman" w:eastAsia="Times New Roman" w:hAnsi="Times New Roman" w:cs="Times New Roman"/>
        </w:rPr>
        <w:tab/>
      </w:r>
      <w:r w:rsidR="00131D13" w:rsidRPr="0075481A">
        <w:rPr>
          <w:rFonts w:ascii="Times New Roman" w:eastAsia="Times New Roman" w:hAnsi="Times New Roman" w:cs="Times New Roman"/>
        </w:rPr>
        <w:tab/>
      </w:r>
      <w:r w:rsidR="00131D13" w:rsidRPr="0075481A">
        <w:rPr>
          <w:rFonts w:ascii="Times New Roman" w:eastAsia="Times New Roman" w:hAnsi="Times New Roman" w:cs="Times New Roman"/>
        </w:rPr>
        <w:tab/>
      </w:r>
      <w:r w:rsidR="00131D13" w:rsidRPr="0075481A">
        <w:rPr>
          <w:rFonts w:ascii="Times New Roman" w:eastAsia="Times New Roman" w:hAnsi="Times New Roman" w:cs="Times New Roman"/>
        </w:rPr>
        <w:tab/>
      </w:r>
      <w:r w:rsidR="00131D13" w:rsidRPr="0075481A">
        <w:rPr>
          <w:rFonts w:ascii="Times New Roman" w:eastAsia="Times New Roman" w:hAnsi="Times New Roman" w:cs="Times New Roman"/>
        </w:rPr>
        <w:tab/>
      </w:r>
      <w:r w:rsidR="00131D13" w:rsidRPr="0075481A">
        <w:rPr>
          <w:rFonts w:ascii="Times New Roman" w:eastAsia="Times New Roman" w:hAnsi="Times New Roman" w:cs="Times New Roman"/>
        </w:rPr>
        <w:tab/>
      </w:r>
    </w:p>
    <w:p w14:paraId="2C04FDE9" w14:textId="77777777" w:rsidR="00131D13" w:rsidRPr="0075481A" w:rsidRDefault="00131D13" w:rsidP="00131D13">
      <w:pPr>
        <w:spacing w:after="0" w:line="240" w:lineRule="auto"/>
        <w:jc w:val="both"/>
        <w:rPr>
          <w:rFonts w:ascii="Times New Roman" w:eastAsia="Times New Roman" w:hAnsi="Times New Roman" w:cs="Times New Roman"/>
          <w:b/>
        </w:rPr>
      </w:pPr>
      <w:r w:rsidRPr="0075481A">
        <w:rPr>
          <w:rFonts w:ascii="Times New Roman" w:eastAsia="Times New Roman" w:hAnsi="Times New Roman" w:cs="Times New Roman"/>
          <w:b/>
        </w:rPr>
        <w:tab/>
      </w:r>
    </w:p>
    <w:p w14:paraId="568D8C97" w14:textId="77777777" w:rsidR="00131D13" w:rsidRPr="0075481A" w:rsidRDefault="00131D13" w:rsidP="00131D13">
      <w:pPr>
        <w:spacing w:after="0" w:line="240" w:lineRule="auto"/>
        <w:jc w:val="both"/>
        <w:rPr>
          <w:rFonts w:ascii="Times New Roman" w:eastAsia="Times New Roman" w:hAnsi="Times New Roman" w:cs="Times New Roman"/>
          <w:b/>
        </w:rPr>
      </w:pPr>
      <w:r w:rsidRPr="0075481A">
        <w:rPr>
          <w:rFonts w:ascii="Times New Roman" w:eastAsia="Times New Roman" w:hAnsi="Times New Roman" w:cs="Times New Roman"/>
          <w:b/>
        </w:rPr>
        <w:t>Bilješka  14. Poslovni prihodi</w:t>
      </w:r>
    </w:p>
    <w:p w14:paraId="0F57587F" w14:textId="77777777" w:rsidR="00131D13" w:rsidRPr="0075481A" w:rsidRDefault="00131D13" w:rsidP="00131D13">
      <w:pPr>
        <w:spacing w:after="0" w:line="240" w:lineRule="auto"/>
        <w:jc w:val="both"/>
        <w:rPr>
          <w:rFonts w:ascii="Times New Roman" w:eastAsia="Times New Roman" w:hAnsi="Times New Roman" w:cs="Times New Roman"/>
        </w:rPr>
      </w:pPr>
    </w:p>
    <w:tbl>
      <w:tblPr>
        <w:tblW w:w="8789" w:type="dxa"/>
        <w:tblInd w:w="108" w:type="dxa"/>
        <w:tblLayout w:type="fixed"/>
        <w:tblLook w:val="0000" w:firstRow="0" w:lastRow="0" w:firstColumn="0" w:lastColumn="0" w:noHBand="0" w:noVBand="0"/>
      </w:tblPr>
      <w:tblGrid>
        <w:gridCol w:w="5387"/>
        <w:gridCol w:w="1701"/>
        <w:gridCol w:w="1701"/>
      </w:tblGrid>
      <w:tr w:rsidR="00131D13" w:rsidRPr="0075481A" w14:paraId="48D7E4E0" w14:textId="77777777" w:rsidTr="002235D2">
        <w:trPr>
          <w:trHeight w:val="288"/>
        </w:trPr>
        <w:tc>
          <w:tcPr>
            <w:tcW w:w="5387" w:type="dxa"/>
            <w:tcBorders>
              <w:bottom w:val="single" w:sz="4" w:space="0" w:color="auto"/>
            </w:tcBorders>
            <w:vAlign w:val="bottom"/>
          </w:tcPr>
          <w:p w14:paraId="24EAB93C" w14:textId="77777777" w:rsidR="00131D13" w:rsidRPr="0075481A" w:rsidRDefault="00131D13" w:rsidP="002235D2">
            <w:pPr>
              <w:spacing w:after="0" w:line="240" w:lineRule="auto"/>
              <w:rPr>
                <w:rFonts w:ascii="Times New Roman" w:eastAsia="Times New Roman" w:hAnsi="Times New Roman" w:cs="Times New Roman"/>
                <w:b/>
                <w:bCs/>
                <w:lang w:eastAsia="hr-HR"/>
              </w:rPr>
            </w:pPr>
            <w:r w:rsidRPr="0075481A">
              <w:rPr>
                <w:rFonts w:ascii="Times New Roman" w:eastAsia="Times New Roman" w:hAnsi="Times New Roman" w:cs="Times New Roman"/>
                <w:b/>
                <w:bCs/>
                <w:lang w:eastAsia="hr-HR"/>
              </w:rPr>
              <w:t>Naziv pozicija</w:t>
            </w:r>
          </w:p>
        </w:tc>
        <w:tc>
          <w:tcPr>
            <w:tcW w:w="1701" w:type="dxa"/>
            <w:tcBorders>
              <w:bottom w:val="single" w:sz="4" w:space="0" w:color="auto"/>
            </w:tcBorders>
          </w:tcPr>
          <w:p w14:paraId="5BD0F602" w14:textId="45989FC6" w:rsidR="00131D13" w:rsidRPr="0075481A" w:rsidRDefault="00131D13" w:rsidP="00B34D9D">
            <w:pPr>
              <w:spacing w:after="0" w:line="240" w:lineRule="auto"/>
              <w:jc w:val="right"/>
              <w:rPr>
                <w:rFonts w:ascii="Times New Roman" w:eastAsia="Times New Roman" w:hAnsi="Times New Roman" w:cs="Times New Roman"/>
                <w:b/>
                <w:bCs/>
              </w:rPr>
            </w:pPr>
            <w:r w:rsidRPr="0075481A">
              <w:rPr>
                <w:rFonts w:ascii="Times New Roman" w:eastAsia="Times New Roman" w:hAnsi="Times New Roman" w:cs="Times New Roman"/>
                <w:b/>
                <w:bCs/>
              </w:rPr>
              <w:t>20</w:t>
            </w:r>
            <w:r w:rsidR="000C27FB" w:rsidRPr="0075481A">
              <w:rPr>
                <w:rFonts w:ascii="Times New Roman" w:eastAsia="Times New Roman" w:hAnsi="Times New Roman" w:cs="Times New Roman"/>
                <w:b/>
                <w:bCs/>
              </w:rPr>
              <w:t>2</w:t>
            </w:r>
            <w:r w:rsidR="00B34D9D" w:rsidRPr="0075481A">
              <w:rPr>
                <w:rFonts w:ascii="Times New Roman" w:eastAsia="Times New Roman" w:hAnsi="Times New Roman" w:cs="Times New Roman"/>
                <w:b/>
                <w:bCs/>
              </w:rPr>
              <w:t>2</w:t>
            </w:r>
            <w:r w:rsidRPr="0075481A">
              <w:rPr>
                <w:rFonts w:ascii="Times New Roman" w:eastAsia="Times New Roman" w:hAnsi="Times New Roman" w:cs="Times New Roman"/>
                <w:b/>
                <w:bCs/>
              </w:rPr>
              <w:t>.</w:t>
            </w:r>
          </w:p>
        </w:tc>
        <w:tc>
          <w:tcPr>
            <w:tcW w:w="1701" w:type="dxa"/>
            <w:tcBorders>
              <w:bottom w:val="single" w:sz="4" w:space="0" w:color="auto"/>
            </w:tcBorders>
          </w:tcPr>
          <w:p w14:paraId="7A7A81F1" w14:textId="5D7E0F68" w:rsidR="00131D13" w:rsidRPr="0075481A" w:rsidRDefault="00131D13" w:rsidP="00B34D9D">
            <w:pPr>
              <w:spacing w:after="0" w:line="240" w:lineRule="auto"/>
              <w:jc w:val="right"/>
              <w:rPr>
                <w:rFonts w:ascii="Times New Roman" w:eastAsia="Times New Roman" w:hAnsi="Times New Roman" w:cs="Times New Roman"/>
                <w:b/>
                <w:bCs/>
              </w:rPr>
            </w:pPr>
            <w:r w:rsidRPr="0075481A">
              <w:rPr>
                <w:rFonts w:ascii="Times New Roman" w:eastAsia="Times New Roman" w:hAnsi="Times New Roman" w:cs="Times New Roman"/>
                <w:b/>
                <w:bCs/>
              </w:rPr>
              <w:t>20</w:t>
            </w:r>
            <w:r w:rsidR="008E7491" w:rsidRPr="0075481A">
              <w:rPr>
                <w:rFonts w:ascii="Times New Roman" w:eastAsia="Times New Roman" w:hAnsi="Times New Roman" w:cs="Times New Roman"/>
                <w:b/>
                <w:bCs/>
              </w:rPr>
              <w:t>2</w:t>
            </w:r>
            <w:r w:rsidR="00B34D9D" w:rsidRPr="0075481A">
              <w:rPr>
                <w:rFonts w:ascii="Times New Roman" w:eastAsia="Times New Roman" w:hAnsi="Times New Roman" w:cs="Times New Roman"/>
                <w:b/>
                <w:bCs/>
              </w:rPr>
              <w:t>3</w:t>
            </w:r>
            <w:r w:rsidRPr="0075481A">
              <w:rPr>
                <w:rFonts w:ascii="Times New Roman" w:eastAsia="Times New Roman" w:hAnsi="Times New Roman" w:cs="Times New Roman"/>
                <w:b/>
                <w:bCs/>
              </w:rPr>
              <w:t>.</w:t>
            </w:r>
          </w:p>
        </w:tc>
      </w:tr>
      <w:tr w:rsidR="00131D13" w:rsidRPr="0075481A" w14:paraId="4B9F5C5E" w14:textId="77777777" w:rsidTr="002235D2">
        <w:tc>
          <w:tcPr>
            <w:tcW w:w="5387" w:type="dxa"/>
            <w:tcBorders>
              <w:top w:val="single" w:sz="4" w:space="0" w:color="auto"/>
            </w:tcBorders>
            <w:vAlign w:val="bottom"/>
          </w:tcPr>
          <w:p w14:paraId="1D7435A0" w14:textId="77777777" w:rsidR="00131D13" w:rsidRPr="0075481A" w:rsidRDefault="00131D13" w:rsidP="002235D2">
            <w:pPr>
              <w:spacing w:after="0" w:line="240" w:lineRule="auto"/>
              <w:rPr>
                <w:rFonts w:ascii="Times New Roman" w:eastAsia="Times New Roman" w:hAnsi="Times New Roman" w:cs="Times New Roman"/>
              </w:rPr>
            </w:pPr>
          </w:p>
          <w:p w14:paraId="0E3A0336" w14:textId="77777777" w:rsidR="00131D13" w:rsidRPr="0075481A" w:rsidRDefault="00131D13" w:rsidP="002235D2">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 xml:space="preserve">Prihodi od prodaje usluga u zemlji </w:t>
            </w:r>
          </w:p>
        </w:tc>
        <w:tc>
          <w:tcPr>
            <w:tcW w:w="1701" w:type="dxa"/>
            <w:tcBorders>
              <w:top w:val="single" w:sz="4" w:space="0" w:color="auto"/>
            </w:tcBorders>
            <w:vAlign w:val="bottom"/>
          </w:tcPr>
          <w:p w14:paraId="6299D80D" w14:textId="3F4FDFAF" w:rsidR="00131D13" w:rsidRPr="0075481A" w:rsidRDefault="00B34D9D" w:rsidP="005E6397">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797.112,48</w:t>
            </w:r>
          </w:p>
        </w:tc>
        <w:tc>
          <w:tcPr>
            <w:tcW w:w="1701" w:type="dxa"/>
            <w:tcBorders>
              <w:top w:val="single" w:sz="4" w:space="0" w:color="auto"/>
            </w:tcBorders>
            <w:vAlign w:val="bottom"/>
          </w:tcPr>
          <w:p w14:paraId="430255B8" w14:textId="375D7B7E" w:rsidR="00131D13" w:rsidRPr="0075481A" w:rsidRDefault="00B34D9D" w:rsidP="00901991">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857.143,17</w:t>
            </w:r>
          </w:p>
        </w:tc>
      </w:tr>
      <w:tr w:rsidR="00131D13" w:rsidRPr="0075481A" w14:paraId="07209DAF" w14:textId="77777777" w:rsidTr="002235D2">
        <w:tc>
          <w:tcPr>
            <w:tcW w:w="5387" w:type="dxa"/>
            <w:vAlign w:val="bottom"/>
          </w:tcPr>
          <w:p w14:paraId="3BA76AE6" w14:textId="7216AF6C" w:rsidR="00131D13" w:rsidRPr="0075481A" w:rsidRDefault="00131D13" w:rsidP="002235D2">
            <w:pPr>
              <w:spacing w:after="0" w:line="240" w:lineRule="auto"/>
              <w:rPr>
                <w:rFonts w:ascii="Times New Roman" w:eastAsia="Times New Roman" w:hAnsi="Times New Roman" w:cs="Times New Roman"/>
              </w:rPr>
            </w:pPr>
          </w:p>
          <w:p w14:paraId="20BCD0D9" w14:textId="77777777" w:rsidR="00131D13" w:rsidRPr="0075481A" w:rsidRDefault="00131D13" w:rsidP="002235D2">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Prihodi od prodaje robe u zemlji</w:t>
            </w:r>
          </w:p>
        </w:tc>
        <w:tc>
          <w:tcPr>
            <w:tcW w:w="1701" w:type="dxa"/>
            <w:vAlign w:val="bottom"/>
          </w:tcPr>
          <w:p w14:paraId="06A4DFC4" w14:textId="523200EC" w:rsidR="00131D13" w:rsidRPr="0075481A" w:rsidRDefault="00B34D9D" w:rsidP="002235D2">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1.108.142,28</w:t>
            </w:r>
          </w:p>
        </w:tc>
        <w:tc>
          <w:tcPr>
            <w:tcW w:w="1701" w:type="dxa"/>
            <w:vAlign w:val="bottom"/>
          </w:tcPr>
          <w:p w14:paraId="7E2907E3" w14:textId="683B6564" w:rsidR="00131D13" w:rsidRPr="0075481A" w:rsidRDefault="00B34D9D" w:rsidP="002235D2">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1.108.980,00</w:t>
            </w:r>
          </w:p>
        </w:tc>
      </w:tr>
      <w:tr w:rsidR="00131D13" w:rsidRPr="0075481A" w14:paraId="6131188E" w14:textId="77777777" w:rsidTr="002235D2">
        <w:tc>
          <w:tcPr>
            <w:tcW w:w="5387" w:type="dxa"/>
            <w:vAlign w:val="bottom"/>
          </w:tcPr>
          <w:p w14:paraId="094DECC3" w14:textId="77777777" w:rsidR="00131D13" w:rsidRPr="0075481A" w:rsidRDefault="00131D13" w:rsidP="002235D2">
            <w:pPr>
              <w:spacing w:after="0" w:line="240" w:lineRule="auto"/>
              <w:rPr>
                <w:rFonts w:ascii="Times New Roman" w:eastAsia="Times New Roman" w:hAnsi="Times New Roman" w:cs="Times New Roman"/>
              </w:rPr>
            </w:pPr>
          </w:p>
          <w:p w14:paraId="0D80B26F" w14:textId="7E0A12E8" w:rsidR="00131D13" w:rsidRPr="0075481A" w:rsidRDefault="0082278B" w:rsidP="002235D2">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Prihodi na temelju uporabe vlastitih proizvoda, robe i usluga</w:t>
            </w:r>
          </w:p>
        </w:tc>
        <w:tc>
          <w:tcPr>
            <w:tcW w:w="1701" w:type="dxa"/>
            <w:vAlign w:val="bottom"/>
          </w:tcPr>
          <w:p w14:paraId="1D4A0BA4" w14:textId="186BC48F" w:rsidR="00131D13" w:rsidRPr="0075481A" w:rsidRDefault="00B34D9D" w:rsidP="00166B3C">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10.743,78</w:t>
            </w:r>
          </w:p>
        </w:tc>
        <w:tc>
          <w:tcPr>
            <w:tcW w:w="1701" w:type="dxa"/>
            <w:vAlign w:val="bottom"/>
          </w:tcPr>
          <w:p w14:paraId="3CAD58B6" w14:textId="7029825D" w:rsidR="00131D13" w:rsidRPr="0075481A" w:rsidRDefault="00B34D9D" w:rsidP="00A16F70">
            <w:pPr>
              <w:spacing w:after="0" w:line="240" w:lineRule="auto"/>
              <w:jc w:val="right"/>
              <w:rPr>
                <w:rFonts w:ascii="Times New Roman" w:eastAsia="Times New Roman" w:hAnsi="Times New Roman" w:cs="Times New Roman"/>
              </w:rPr>
            </w:pPr>
            <w:r w:rsidRPr="0075481A">
              <w:rPr>
                <w:rFonts w:ascii="Times New Roman" w:eastAsia="Times New Roman" w:hAnsi="Times New Roman" w:cs="Times New Roman"/>
              </w:rPr>
              <w:t>3.574,43</w:t>
            </w:r>
          </w:p>
        </w:tc>
      </w:tr>
      <w:tr w:rsidR="001D58F7" w:rsidRPr="0075481A" w14:paraId="261F2626" w14:textId="77777777" w:rsidTr="00DB5243">
        <w:trPr>
          <w:trHeight w:val="432"/>
        </w:trPr>
        <w:tc>
          <w:tcPr>
            <w:tcW w:w="5387" w:type="dxa"/>
            <w:vAlign w:val="bottom"/>
          </w:tcPr>
          <w:p w14:paraId="53E020DA" w14:textId="77777777" w:rsidR="001D58F7" w:rsidRPr="0075481A" w:rsidRDefault="001D58F7" w:rsidP="001D58F7">
            <w:pPr>
              <w:spacing w:after="0" w:line="240" w:lineRule="auto"/>
              <w:rPr>
                <w:rFonts w:ascii="Times New Roman" w:eastAsia="Times New Roman" w:hAnsi="Times New Roman" w:cs="Times New Roman"/>
              </w:rPr>
            </w:pPr>
          </w:p>
          <w:p w14:paraId="3387E2A4" w14:textId="58592FAC" w:rsidR="001D58F7" w:rsidRPr="0075481A" w:rsidRDefault="001D58F7" w:rsidP="001D58F7">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rPr>
              <w:t>Ostali  prihodi</w:t>
            </w:r>
          </w:p>
        </w:tc>
        <w:tc>
          <w:tcPr>
            <w:tcW w:w="1701" w:type="dxa"/>
            <w:vAlign w:val="bottom"/>
          </w:tcPr>
          <w:p w14:paraId="7F0E8C5C" w14:textId="0049C1CF" w:rsidR="001D58F7" w:rsidRPr="0075481A" w:rsidRDefault="00B34D9D" w:rsidP="001D58F7">
            <w:pPr>
              <w:spacing w:after="0" w:line="240" w:lineRule="auto"/>
              <w:jc w:val="right"/>
              <w:rPr>
                <w:rFonts w:ascii="Times New Roman" w:eastAsia="Times New Roman" w:hAnsi="Times New Roman" w:cs="Times New Roman"/>
                <w:b/>
                <w:u w:val="double"/>
              </w:rPr>
            </w:pPr>
            <w:r w:rsidRPr="0075481A">
              <w:rPr>
                <w:rFonts w:ascii="Times New Roman" w:eastAsia="Times New Roman" w:hAnsi="Times New Roman" w:cs="Times New Roman"/>
              </w:rPr>
              <w:t>52.467,45</w:t>
            </w:r>
          </w:p>
        </w:tc>
        <w:tc>
          <w:tcPr>
            <w:tcW w:w="1701" w:type="dxa"/>
            <w:vAlign w:val="bottom"/>
          </w:tcPr>
          <w:p w14:paraId="60332BAB" w14:textId="2312CE2F" w:rsidR="001D58F7" w:rsidRPr="0075481A" w:rsidRDefault="00B34D9D" w:rsidP="005E6397">
            <w:pPr>
              <w:spacing w:after="0" w:line="240" w:lineRule="auto"/>
              <w:jc w:val="right"/>
              <w:rPr>
                <w:rFonts w:ascii="Times New Roman" w:eastAsia="Times New Roman" w:hAnsi="Times New Roman" w:cs="Times New Roman"/>
                <w:u w:val="double"/>
              </w:rPr>
            </w:pPr>
            <w:r w:rsidRPr="0075481A">
              <w:rPr>
                <w:rFonts w:ascii="Times New Roman" w:eastAsia="Times New Roman" w:hAnsi="Times New Roman" w:cs="Times New Roman"/>
              </w:rPr>
              <w:t>50.610,91</w:t>
            </w:r>
          </w:p>
        </w:tc>
      </w:tr>
      <w:tr w:rsidR="001D58F7" w:rsidRPr="0075481A" w14:paraId="1D86AD05" w14:textId="77777777" w:rsidTr="00DB5243">
        <w:trPr>
          <w:trHeight w:val="432"/>
        </w:trPr>
        <w:tc>
          <w:tcPr>
            <w:tcW w:w="5387" w:type="dxa"/>
            <w:vAlign w:val="bottom"/>
          </w:tcPr>
          <w:p w14:paraId="0D8FD384" w14:textId="633C1E64" w:rsidR="001D58F7" w:rsidRPr="0075481A" w:rsidRDefault="001D58F7" w:rsidP="001D58F7">
            <w:pPr>
              <w:spacing w:after="0" w:line="240" w:lineRule="auto"/>
              <w:rPr>
                <w:rFonts w:ascii="Times New Roman" w:eastAsia="Times New Roman" w:hAnsi="Times New Roman" w:cs="Times New Roman"/>
                <w:b/>
              </w:rPr>
            </w:pPr>
          </w:p>
        </w:tc>
        <w:tc>
          <w:tcPr>
            <w:tcW w:w="1701" w:type="dxa"/>
            <w:vAlign w:val="bottom"/>
          </w:tcPr>
          <w:p w14:paraId="61B218FC" w14:textId="77777777" w:rsidR="001D58F7" w:rsidRPr="0075481A" w:rsidRDefault="001D58F7" w:rsidP="001D58F7">
            <w:pPr>
              <w:spacing w:after="0" w:line="240" w:lineRule="auto"/>
              <w:jc w:val="right"/>
              <w:rPr>
                <w:rFonts w:ascii="Times New Roman" w:eastAsia="Times New Roman" w:hAnsi="Times New Roman" w:cs="Times New Roman"/>
                <w:b/>
                <w:u w:val="double"/>
              </w:rPr>
            </w:pPr>
          </w:p>
        </w:tc>
        <w:tc>
          <w:tcPr>
            <w:tcW w:w="1701" w:type="dxa"/>
            <w:vAlign w:val="bottom"/>
          </w:tcPr>
          <w:p w14:paraId="087577EE" w14:textId="77777777" w:rsidR="001D58F7" w:rsidRPr="0075481A" w:rsidRDefault="001D58F7" w:rsidP="001D58F7">
            <w:pPr>
              <w:spacing w:after="0" w:line="240" w:lineRule="auto"/>
              <w:jc w:val="right"/>
              <w:rPr>
                <w:rFonts w:ascii="Times New Roman" w:eastAsia="Times New Roman" w:hAnsi="Times New Roman" w:cs="Times New Roman"/>
                <w:b/>
                <w:u w:val="double"/>
              </w:rPr>
            </w:pPr>
          </w:p>
        </w:tc>
      </w:tr>
      <w:tr w:rsidR="001D58F7" w:rsidRPr="0075481A" w14:paraId="6D17E1F1" w14:textId="77777777" w:rsidTr="00E81CB2">
        <w:trPr>
          <w:trHeight w:val="432"/>
        </w:trPr>
        <w:tc>
          <w:tcPr>
            <w:tcW w:w="5387" w:type="dxa"/>
            <w:vAlign w:val="bottom"/>
          </w:tcPr>
          <w:p w14:paraId="1E565FBD" w14:textId="5B4ABBEC" w:rsidR="001D58F7" w:rsidRPr="0075481A" w:rsidRDefault="0082278B" w:rsidP="00E81CB2">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Ukupno</w:t>
            </w:r>
          </w:p>
        </w:tc>
        <w:tc>
          <w:tcPr>
            <w:tcW w:w="1701" w:type="dxa"/>
            <w:vAlign w:val="bottom"/>
          </w:tcPr>
          <w:p w14:paraId="72A38DA1" w14:textId="218AB8DF" w:rsidR="001D58F7" w:rsidRPr="0075481A" w:rsidRDefault="00B34D9D" w:rsidP="005E6397">
            <w:pPr>
              <w:spacing w:after="0" w:line="240" w:lineRule="auto"/>
              <w:jc w:val="right"/>
              <w:rPr>
                <w:rFonts w:ascii="Times New Roman" w:eastAsia="Times New Roman" w:hAnsi="Times New Roman" w:cs="Times New Roman"/>
                <w:b/>
                <w:u w:val="double"/>
              </w:rPr>
            </w:pPr>
            <w:r w:rsidRPr="0075481A">
              <w:rPr>
                <w:rFonts w:ascii="Times New Roman" w:eastAsia="Times New Roman" w:hAnsi="Times New Roman" w:cs="Times New Roman"/>
                <w:b/>
                <w:u w:val="double"/>
              </w:rPr>
              <w:t>1.968465,99</w:t>
            </w:r>
          </w:p>
        </w:tc>
        <w:tc>
          <w:tcPr>
            <w:tcW w:w="1701" w:type="dxa"/>
            <w:vAlign w:val="bottom"/>
          </w:tcPr>
          <w:p w14:paraId="077D4DA2" w14:textId="56FFBF6F" w:rsidR="001D58F7" w:rsidRPr="0075481A" w:rsidRDefault="00B34D9D" w:rsidP="005E6397">
            <w:pPr>
              <w:spacing w:after="0" w:line="240" w:lineRule="auto"/>
              <w:jc w:val="right"/>
              <w:rPr>
                <w:rFonts w:ascii="Times New Roman" w:eastAsia="Times New Roman" w:hAnsi="Times New Roman" w:cs="Times New Roman"/>
                <w:b/>
                <w:u w:val="double"/>
              </w:rPr>
            </w:pPr>
            <w:r w:rsidRPr="0075481A">
              <w:rPr>
                <w:rFonts w:ascii="Times New Roman" w:eastAsia="Times New Roman" w:hAnsi="Times New Roman" w:cs="Times New Roman"/>
                <w:b/>
                <w:u w:val="double"/>
              </w:rPr>
              <w:t>2.011.488,84</w:t>
            </w:r>
          </w:p>
        </w:tc>
      </w:tr>
    </w:tbl>
    <w:p w14:paraId="14075048" w14:textId="77777777" w:rsidR="00131D13" w:rsidRPr="0075481A" w:rsidRDefault="00131D13" w:rsidP="00131D13">
      <w:pPr>
        <w:autoSpaceDE w:val="0"/>
        <w:autoSpaceDN w:val="0"/>
        <w:adjustRightInd w:val="0"/>
        <w:spacing w:after="0" w:line="240" w:lineRule="auto"/>
        <w:jc w:val="both"/>
        <w:rPr>
          <w:rFonts w:ascii="Times New Roman" w:eastAsia="Calibri" w:hAnsi="Times New Roman" w:cs="Times New Roman"/>
          <w:b/>
          <w:bCs/>
          <w:color w:val="17365D"/>
        </w:rPr>
      </w:pPr>
    </w:p>
    <w:p w14:paraId="0A2E1440" w14:textId="77777777" w:rsidR="001B4644" w:rsidRPr="0075481A" w:rsidRDefault="001B4644" w:rsidP="001B4644">
      <w:pPr>
        <w:spacing w:after="0" w:line="276" w:lineRule="auto"/>
        <w:contextualSpacing/>
        <w:jc w:val="both"/>
        <w:rPr>
          <w:rFonts w:ascii="Times New Roman" w:eastAsia="Times New Roman" w:hAnsi="Times New Roman" w:cs="Times New Roman"/>
          <w:b/>
          <w:noProof/>
        </w:rPr>
      </w:pPr>
      <w:r w:rsidRPr="0075481A">
        <w:rPr>
          <w:rFonts w:ascii="Times New Roman" w:eastAsia="Times New Roman" w:hAnsi="Times New Roman" w:cs="Times New Roman"/>
          <w:b/>
          <w:noProof/>
        </w:rPr>
        <w:t>Poslovni prihodi</w:t>
      </w:r>
    </w:p>
    <w:p w14:paraId="79D61CC4" w14:textId="416098BE" w:rsidR="007E4B82" w:rsidRPr="0075481A" w:rsidRDefault="007E4B82" w:rsidP="007E4B82">
      <w:pPr>
        <w:spacing w:after="0" w:line="276" w:lineRule="auto"/>
        <w:contextualSpacing/>
        <w:jc w:val="both"/>
        <w:rPr>
          <w:rFonts w:ascii="Times New Roman" w:eastAsia="Times New Roman" w:hAnsi="Times New Roman" w:cs="Times New Roman"/>
          <w:b/>
          <w:noProof/>
        </w:rPr>
      </w:pPr>
    </w:p>
    <w:p w14:paraId="261A8437" w14:textId="31D08A30" w:rsidR="007E4B82" w:rsidRPr="0075481A" w:rsidRDefault="007E4B82" w:rsidP="007E4B82">
      <w:pPr>
        <w:spacing w:after="0" w:line="276" w:lineRule="auto"/>
        <w:jc w:val="both"/>
        <w:rPr>
          <w:rFonts w:ascii="Times New Roman" w:eastAsia="Calibri" w:hAnsi="Times New Roman" w:cs="Times New Roman"/>
          <w:bCs/>
        </w:rPr>
      </w:pPr>
      <w:r w:rsidRPr="0075481A">
        <w:rPr>
          <w:rFonts w:ascii="Times New Roman" w:eastAsia="Calibri" w:hAnsi="Times New Roman" w:cs="Times New Roman"/>
          <w:bCs/>
        </w:rPr>
        <w:t>Društvo je tijekom promatranog razdoblja ostvarilo 2.033.880,35 EUR</w:t>
      </w:r>
      <w:r w:rsidRPr="0075481A">
        <w:rPr>
          <w:rFonts w:ascii="Times New Roman" w:eastAsia="Calibri" w:hAnsi="Times New Roman" w:cs="Times New Roman"/>
          <w:b/>
          <w:bCs/>
        </w:rPr>
        <w:t xml:space="preserve"> ukupnih prihoda</w:t>
      </w:r>
      <w:r w:rsidRPr="0075481A">
        <w:rPr>
          <w:rFonts w:ascii="Times New Roman" w:eastAsia="Calibri" w:hAnsi="Times New Roman" w:cs="Times New Roman"/>
          <w:bCs/>
        </w:rPr>
        <w:t xml:space="preserve"> te su kao takvi za 3% viši u odnosu na 2022. godinu. </w:t>
      </w:r>
    </w:p>
    <w:p w14:paraId="624EF2F1" w14:textId="77777777" w:rsidR="007E4B82" w:rsidRPr="0075481A" w:rsidRDefault="007E4B82" w:rsidP="007E4B82">
      <w:pPr>
        <w:spacing w:after="0" w:line="276" w:lineRule="auto"/>
        <w:jc w:val="both"/>
        <w:rPr>
          <w:rFonts w:ascii="Times New Roman" w:eastAsia="Calibri" w:hAnsi="Times New Roman" w:cs="Times New Roman"/>
          <w:b/>
          <w:bCs/>
          <w:color w:val="17365D"/>
        </w:rPr>
      </w:pPr>
    </w:p>
    <w:p w14:paraId="09CAF3E7" w14:textId="6C6E4A30" w:rsidR="007E4B82" w:rsidRPr="0075481A" w:rsidRDefault="007E4B82" w:rsidP="007E4B82">
      <w:pPr>
        <w:autoSpaceDE w:val="0"/>
        <w:autoSpaceDN w:val="0"/>
        <w:adjustRightInd w:val="0"/>
        <w:spacing w:after="0" w:line="276" w:lineRule="auto"/>
        <w:jc w:val="both"/>
        <w:rPr>
          <w:rFonts w:ascii="Times New Roman" w:eastAsia="Calibri" w:hAnsi="Times New Roman" w:cs="Times New Roman"/>
          <w:bCs/>
        </w:rPr>
      </w:pPr>
      <w:r w:rsidRPr="0075481A">
        <w:rPr>
          <w:rFonts w:ascii="Times New Roman" w:eastAsia="Calibri" w:hAnsi="Times New Roman" w:cs="Times New Roman"/>
          <w:b/>
          <w:bCs/>
        </w:rPr>
        <w:t xml:space="preserve">Poslovni prihodi </w:t>
      </w:r>
      <w:r w:rsidRPr="0075481A">
        <w:rPr>
          <w:rFonts w:ascii="Times New Roman" w:eastAsia="Calibri" w:hAnsi="Times New Roman" w:cs="Times New Roman"/>
          <w:bCs/>
        </w:rPr>
        <w:t>ostvareni su u iznosu od 2.020.308,51 EUR što je za 3% veće u odnosu na prethodnu godinu. Najznačajniji prihodi jesu prihodi od prodaje robe (djelatnost trgovine i davanje grobnih mjesta za korištenje na neodređeno vrijeme) na koje se odnosi udio od 55% poslovnih prihoda, te slijede prihodi od prodaje proizvoda i usluga (pogrebne usluge i održavanje groblja) na koje se odnosi udio od 43% poslovnih prihoda.</w:t>
      </w:r>
    </w:p>
    <w:p w14:paraId="49FB8B0E" w14:textId="77777777" w:rsidR="007E4B82" w:rsidRPr="0075481A" w:rsidRDefault="007E4B82" w:rsidP="007E4B82">
      <w:pPr>
        <w:spacing w:after="0" w:line="276" w:lineRule="auto"/>
        <w:jc w:val="both"/>
        <w:rPr>
          <w:rFonts w:ascii="Times New Roman" w:eastAsia="Calibri" w:hAnsi="Times New Roman" w:cs="Times New Roman"/>
          <w:bCs/>
        </w:rPr>
      </w:pPr>
    </w:p>
    <w:p w14:paraId="52128362" w14:textId="5E210EB1" w:rsidR="007E4B82" w:rsidRPr="0075481A" w:rsidRDefault="007E4B82" w:rsidP="007E4B82">
      <w:pPr>
        <w:spacing w:after="0" w:line="276" w:lineRule="auto"/>
        <w:jc w:val="both"/>
        <w:rPr>
          <w:rFonts w:ascii="Times New Roman" w:eastAsia="Calibri" w:hAnsi="Times New Roman" w:cs="Times New Roman"/>
          <w:bCs/>
        </w:rPr>
      </w:pPr>
      <w:r w:rsidRPr="0075481A">
        <w:rPr>
          <w:rFonts w:ascii="Times New Roman" w:eastAsia="Calibri" w:hAnsi="Times New Roman" w:cs="Times New Roman"/>
          <w:bCs/>
        </w:rPr>
        <w:t xml:space="preserve">Prihodi od prodaje proizvoda i usluga u visini od 857.143,17 EUR bilježe rast od 8% u odnosu na 2022. godinu i u cijelom se iznosu odnose na prihode od pružanja usluga, točnije pogrebnih usluga i usluga održavanja groblja. Od ožujka mjeseca 2023. godine primjenjuju se novi cjenik komunalnih usluga i cjenik </w:t>
      </w:r>
      <w:proofErr w:type="spellStart"/>
      <w:r w:rsidRPr="0075481A">
        <w:rPr>
          <w:rFonts w:ascii="Times New Roman" w:eastAsia="Calibri" w:hAnsi="Times New Roman" w:cs="Times New Roman"/>
          <w:bCs/>
        </w:rPr>
        <w:t>pogrebničkih</w:t>
      </w:r>
      <w:proofErr w:type="spellEnd"/>
      <w:r w:rsidRPr="0075481A">
        <w:rPr>
          <w:rFonts w:ascii="Times New Roman" w:eastAsia="Calibri" w:hAnsi="Times New Roman" w:cs="Times New Roman"/>
          <w:bCs/>
        </w:rPr>
        <w:t xml:space="preserve"> i tržišnih usluga. </w:t>
      </w:r>
    </w:p>
    <w:p w14:paraId="2B4724A3" w14:textId="3C911D70" w:rsidR="007E4B82" w:rsidRPr="0075481A" w:rsidRDefault="007E4B82" w:rsidP="007E4B82">
      <w:pPr>
        <w:spacing w:after="0" w:line="276" w:lineRule="auto"/>
        <w:jc w:val="both"/>
        <w:rPr>
          <w:rFonts w:ascii="Times New Roman" w:eastAsia="Calibri" w:hAnsi="Times New Roman" w:cs="Times New Roman"/>
          <w:bCs/>
        </w:rPr>
      </w:pPr>
      <w:r w:rsidRPr="0075481A">
        <w:rPr>
          <w:rFonts w:ascii="Times New Roman" w:eastAsia="Calibri" w:hAnsi="Times New Roman" w:cs="Times New Roman"/>
          <w:bCs/>
        </w:rPr>
        <w:t xml:space="preserve">Prihodi od prodaje robe (1.108.980,00 EUR) obuhvaćaju prihode od trgovine (749.889,51 EUR) koji bilježe povećanje  od 20% u odnosu prethodnu godinu. Pozicija </w:t>
      </w:r>
      <w:r w:rsidRPr="0075481A">
        <w:rPr>
          <w:rFonts w:ascii="Times New Roman" w:eastAsia="Calibri" w:hAnsi="Times New Roman" w:cs="Times New Roman"/>
          <w:bCs/>
          <w:i/>
        </w:rPr>
        <w:t xml:space="preserve">prihodi od prodaje robe </w:t>
      </w:r>
      <w:r w:rsidRPr="0075481A">
        <w:rPr>
          <w:rFonts w:ascii="Times New Roman" w:eastAsia="Calibri" w:hAnsi="Times New Roman" w:cs="Times New Roman"/>
          <w:bCs/>
        </w:rPr>
        <w:t xml:space="preserve"> uključuje davanje grobnih mjesta za korištenje na neodređeno vrijeme (359.090,49 EUR) i bilježi pad od 26%  u odnosu na 2022. godinu. U 2023. godini objavljen je natječaj za javno nadmetanje za 25 napuštenih grobnih mjesta, a ostvareno je prihoda u iznosu od 88.338,00 EUR bez PDV-a. </w:t>
      </w:r>
    </w:p>
    <w:p w14:paraId="4D3AF069" w14:textId="77777777" w:rsidR="005E6397" w:rsidRPr="0075481A" w:rsidRDefault="005E6397" w:rsidP="005E6397">
      <w:pPr>
        <w:spacing w:after="0" w:line="276" w:lineRule="auto"/>
        <w:jc w:val="both"/>
        <w:rPr>
          <w:rFonts w:ascii="Times New Roman" w:eastAsia="Calibri" w:hAnsi="Times New Roman" w:cs="Times New Roman"/>
          <w:bCs/>
        </w:rPr>
      </w:pPr>
    </w:p>
    <w:p w14:paraId="29B37B79" w14:textId="77777777" w:rsidR="001B4644" w:rsidRPr="0075481A" w:rsidRDefault="001B4644" w:rsidP="001B4644">
      <w:pPr>
        <w:spacing w:after="0" w:line="276" w:lineRule="auto"/>
        <w:contextualSpacing/>
        <w:jc w:val="both"/>
        <w:rPr>
          <w:rFonts w:ascii="Times New Roman" w:eastAsia="Times New Roman" w:hAnsi="Times New Roman" w:cs="Times New Roman"/>
          <w:noProof/>
          <w:color w:val="FF0000"/>
        </w:rPr>
      </w:pPr>
    </w:p>
    <w:p w14:paraId="1D924605" w14:textId="77777777" w:rsidR="00A81432" w:rsidRDefault="00A81432" w:rsidP="00ED4AED">
      <w:pPr>
        <w:jc w:val="both"/>
        <w:rPr>
          <w:rFonts w:ascii="Times New Roman" w:eastAsia="Times New Roman" w:hAnsi="Times New Roman" w:cs="Times New Roman"/>
          <w:b/>
        </w:rPr>
      </w:pPr>
    </w:p>
    <w:p w14:paraId="0F94E065" w14:textId="77777777" w:rsidR="00A81432" w:rsidRDefault="00A81432" w:rsidP="00ED4AED">
      <w:pPr>
        <w:jc w:val="both"/>
        <w:rPr>
          <w:rFonts w:ascii="Times New Roman" w:eastAsia="Times New Roman" w:hAnsi="Times New Roman" w:cs="Times New Roman"/>
          <w:b/>
        </w:rPr>
      </w:pPr>
    </w:p>
    <w:p w14:paraId="5D714D78" w14:textId="5EB5D912" w:rsidR="00A81432" w:rsidRPr="00A81432" w:rsidRDefault="00A81432" w:rsidP="00A81432">
      <w:pPr>
        <w:jc w:val="right"/>
        <w:rPr>
          <w:rFonts w:ascii="Times New Roman" w:eastAsia="Times New Roman" w:hAnsi="Times New Roman" w:cs="Times New Roman"/>
        </w:rPr>
      </w:pPr>
      <w:r w:rsidRPr="00A81432">
        <w:rPr>
          <w:rFonts w:ascii="Times New Roman" w:eastAsia="Times New Roman" w:hAnsi="Times New Roman" w:cs="Times New Roman"/>
        </w:rPr>
        <w:t>11</w:t>
      </w:r>
    </w:p>
    <w:p w14:paraId="2390BC05" w14:textId="180A941D" w:rsidR="00763305" w:rsidRPr="0075481A" w:rsidRDefault="004A7418" w:rsidP="00ED4AED">
      <w:pPr>
        <w:jc w:val="both"/>
        <w:rPr>
          <w:rFonts w:ascii="Times New Roman" w:eastAsia="Times New Roman" w:hAnsi="Times New Roman" w:cs="Times New Roman"/>
          <w:b/>
        </w:rPr>
      </w:pPr>
      <w:r w:rsidRPr="0075481A">
        <w:rPr>
          <w:rFonts w:ascii="Times New Roman" w:eastAsia="Times New Roman" w:hAnsi="Times New Roman" w:cs="Times New Roman"/>
          <w:b/>
        </w:rPr>
        <w:lastRenderedPageBreak/>
        <w:t xml:space="preserve">Bilješka 15. </w:t>
      </w:r>
      <w:r w:rsidR="00763305" w:rsidRPr="0075481A">
        <w:rPr>
          <w:rFonts w:ascii="Times New Roman" w:eastAsia="Times New Roman" w:hAnsi="Times New Roman" w:cs="Times New Roman"/>
          <w:b/>
        </w:rPr>
        <w:t>Ostali poslovni prihodi</w:t>
      </w:r>
    </w:p>
    <w:p w14:paraId="687B5C37" w14:textId="401F8690" w:rsidR="001B4644" w:rsidRPr="0075481A" w:rsidRDefault="001B4644" w:rsidP="00F75C09">
      <w:pPr>
        <w:jc w:val="both"/>
        <w:rPr>
          <w:rFonts w:ascii="Times New Roman" w:eastAsia="Calibri" w:hAnsi="Times New Roman" w:cs="Times New Roman"/>
          <w:bCs/>
          <w:i/>
        </w:rPr>
      </w:pPr>
      <w:r w:rsidRPr="0075481A">
        <w:rPr>
          <w:rFonts w:ascii="Times New Roman" w:eastAsia="Calibri" w:hAnsi="Times New Roman" w:cs="Times New Roman"/>
          <w:b/>
          <w:bCs/>
        </w:rPr>
        <w:t xml:space="preserve">Ostali </w:t>
      </w:r>
      <w:r w:rsidR="0082278B" w:rsidRPr="0075481A">
        <w:rPr>
          <w:rFonts w:ascii="Times New Roman" w:eastAsia="Calibri" w:hAnsi="Times New Roman" w:cs="Times New Roman"/>
          <w:b/>
          <w:bCs/>
        </w:rPr>
        <w:t xml:space="preserve">poslovni </w:t>
      </w:r>
      <w:r w:rsidRPr="0075481A">
        <w:rPr>
          <w:rFonts w:ascii="Times New Roman" w:eastAsia="Calibri" w:hAnsi="Times New Roman" w:cs="Times New Roman"/>
          <w:b/>
          <w:bCs/>
        </w:rPr>
        <w:t>prihodi</w:t>
      </w:r>
      <w:r w:rsidR="00F75C09" w:rsidRPr="0075481A">
        <w:rPr>
          <w:rFonts w:ascii="Times New Roman" w:eastAsia="Calibri" w:hAnsi="Times New Roman" w:cs="Times New Roman"/>
          <w:b/>
          <w:bCs/>
        </w:rPr>
        <w:t xml:space="preserve"> </w:t>
      </w:r>
      <w:r w:rsidR="00F75C09" w:rsidRPr="0075481A">
        <w:rPr>
          <w:rFonts w:ascii="Times New Roman" w:eastAsia="Calibri" w:hAnsi="Times New Roman" w:cs="Times New Roman"/>
          <w:bCs/>
        </w:rPr>
        <w:t>u visini od (</w:t>
      </w:r>
      <w:r w:rsidR="007E4B82" w:rsidRPr="0075481A">
        <w:rPr>
          <w:rFonts w:ascii="Times New Roman" w:eastAsia="Calibri" w:hAnsi="Times New Roman" w:cs="Times New Roman"/>
          <w:bCs/>
        </w:rPr>
        <w:t>50.610,91 EUR</w:t>
      </w:r>
      <w:r w:rsidR="00F75C09" w:rsidRPr="0075481A">
        <w:rPr>
          <w:rFonts w:ascii="Times New Roman" w:eastAsia="Calibri" w:hAnsi="Times New Roman" w:cs="Times New Roman"/>
          <w:bCs/>
        </w:rPr>
        <w:t xml:space="preserve">) podrazumijevaju prihode od prodaje dugotrajne materijalne i nematerijalne imovine – prodaja rashladnog </w:t>
      </w:r>
      <w:r w:rsidR="007E4B82" w:rsidRPr="0075481A">
        <w:rPr>
          <w:rFonts w:ascii="Times New Roman" w:eastAsia="Calibri" w:hAnsi="Times New Roman" w:cs="Times New Roman"/>
          <w:bCs/>
        </w:rPr>
        <w:t>prijenosnog</w:t>
      </w:r>
      <w:r w:rsidR="00F75C09" w:rsidRPr="0075481A">
        <w:rPr>
          <w:rFonts w:ascii="Times New Roman" w:eastAsia="Calibri" w:hAnsi="Times New Roman" w:cs="Times New Roman"/>
          <w:bCs/>
        </w:rPr>
        <w:t xml:space="preserve"> uređaja koji je 100% amortiziran (</w:t>
      </w:r>
      <w:r w:rsidR="00125755" w:rsidRPr="0075481A">
        <w:rPr>
          <w:rFonts w:ascii="Times New Roman" w:eastAsia="Calibri" w:hAnsi="Times New Roman" w:cs="Times New Roman"/>
          <w:bCs/>
        </w:rPr>
        <w:t>1.680,80 EUR</w:t>
      </w:r>
      <w:r w:rsidR="00F75C09" w:rsidRPr="0075481A">
        <w:rPr>
          <w:rFonts w:ascii="Times New Roman" w:eastAsia="Calibri" w:hAnsi="Times New Roman" w:cs="Times New Roman"/>
          <w:bCs/>
        </w:rPr>
        <w:t>), utvrđenih viškova (</w:t>
      </w:r>
      <w:r w:rsidR="00125755" w:rsidRPr="0075481A">
        <w:rPr>
          <w:rFonts w:ascii="Times New Roman" w:eastAsia="Calibri" w:hAnsi="Times New Roman" w:cs="Times New Roman"/>
          <w:bCs/>
        </w:rPr>
        <w:t>2.644,10 EUR</w:t>
      </w:r>
      <w:r w:rsidR="00F75C09" w:rsidRPr="0075481A">
        <w:rPr>
          <w:rFonts w:ascii="Times New Roman" w:eastAsia="Calibri" w:hAnsi="Times New Roman" w:cs="Times New Roman"/>
          <w:bCs/>
        </w:rPr>
        <w:t>), naplaćenih, prethodno otpisanih potraživanja (</w:t>
      </w:r>
      <w:r w:rsidR="00125755" w:rsidRPr="0075481A">
        <w:rPr>
          <w:rFonts w:ascii="Times New Roman" w:eastAsia="Calibri" w:hAnsi="Times New Roman" w:cs="Times New Roman"/>
          <w:bCs/>
        </w:rPr>
        <w:t>9.892,00 EUR</w:t>
      </w:r>
      <w:r w:rsidR="00F75C09" w:rsidRPr="0075481A">
        <w:rPr>
          <w:rFonts w:ascii="Times New Roman" w:eastAsia="Calibri" w:hAnsi="Times New Roman" w:cs="Times New Roman"/>
          <w:bCs/>
        </w:rPr>
        <w:t xml:space="preserve">), </w:t>
      </w:r>
      <w:r w:rsidR="00125755" w:rsidRPr="0075481A">
        <w:rPr>
          <w:rFonts w:ascii="Times New Roman" w:eastAsia="Calibri" w:hAnsi="Times New Roman" w:cs="Times New Roman"/>
          <w:bCs/>
        </w:rPr>
        <w:t>prihodi od ukidanja rezerviranja (11.138,09 EUR)</w:t>
      </w:r>
      <w:r w:rsidR="00F75C09" w:rsidRPr="0075481A">
        <w:rPr>
          <w:rFonts w:ascii="Times New Roman" w:eastAsia="Calibri" w:hAnsi="Times New Roman" w:cs="Times New Roman"/>
          <w:bCs/>
        </w:rPr>
        <w:t xml:space="preserve">, </w:t>
      </w:r>
      <w:r w:rsidR="0082278B" w:rsidRPr="0075481A">
        <w:rPr>
          <w:rFonts w:ascii="Times New Roman" w:eastAsia="Calibri" w:hAnsi="Times New Roman" w:cs="Times New Roman"/>
          <w:bCs/>
        </w:rPr>
        <w:t xml:space="preserve"> te prihodi od subvencija (</w:t>
      </w:r>
      <w:r w:rsidR="00125755" w:rsidRPr="0075481A">
        <w:rPr>
          <w:rFonts w:ascii="Times New Roman" w:eastAsia="Calibri" w:hAnsi="Times New Roman" w:cs="Times New Roman"/>
          <w:bCs/>
        </w:rPr>
        <w:t>25.255,92 EUR</w:t>
      </w:r>
      <w:r w:rsidR="0082278B" w:rsidRPr="0075481A">
        <w:rPr>
          <w:rFonts w:ascii="Times New Roman" w:eastAsia="Calibri" w:hAnsi="Times New Roman" w:cs="Times New Roman"/>
          <w:bCs/>
        </w:rPr>
        <w:t>)</w:t>
      </w:r>
      <w:r w:rsidRPr="0075481A">
        <w:rPr>
          <w:rFonts w:ascii="Times New Roman" w:eastAsia="Calibri" w:hAnsi="Times New Roman" w:cs="Times New Roman"/>
          <w:bCs/>
        </w:rPr>
        <w:t xml:space="preserve">. </w:t>
      </w:r>
    </w:p>
    <w:p w14:paraId="30B4E98E" w14:textId="59F5CFFE"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1</w:t>
      </w:r>
      <w:r w:rsidR="00137795" w:rsidRPr="0075481A">
        <w:rPr>
          <w:rFonts w:ascii="Times New Roman" w:eastAsia="Times New Roman" w:hAnsi="Times New Roman" w:cs="Times New Roman"/>
          <w:b/>
        </w:rPr>
        <w:t>6</w:t>
      </w:r>
      <w:r w:rsidRPr="0075481A">
        <w:rPr>
          <w:rFonts w:ascii="Times New Roman" w:eastAsia="Times New Roman" w:hAnsi="Times New Roman" w:cs="Times New Roman"/>
          <w:b/>
        </w:rPr>
        <w:t>.</w:t>
      </w:r>
      <w:r w:rsidR="00763305" w:rsidRPr="0075481A">
        <w:rPr>
          <w:rFonts w:ascii="Times New Roman" w:eastAsia="Times New Roman" w:hAnsi="Times New Roman" w:cs="Times New Roman"/>
          <w:b/>
        </w:rPr>
        <w:t xml:space="preserve"> </w:t>
      </w:r>
      <w:r w:rsidRPr="0075481A">
        <w:rPr>
          <w:rFonts w:ascii="Times New Roman" w:eastAsia="Times New Roman" w:hAnsi="Times New Roman" w:cs="Times New Roman"/>
          <w:b/>
        </w:rPr>
        <w:t>Troškovi sirovina i materijala</w:t>
      </w:r>
    </w:p>
    <w:p w14:paraId="4B935EE5" w14:textId="77777777" w:rsidR="00763305" w:rsidRPr="0075481A" w:rsidRDefault="00763305" w:rsidP="00131D13">
      <w:pPr>
        <w:spacing w:after="0" w:line="240" w:lineRule="auto"/>
        <w:rPr>
          <w:rFonts w:ascii="Times New Roman" w:eastAsia="Times New Roman" w:hAnsi="Times New Roman" w:cs="Times New Roman"/>
          <w:b/>
        </w:rPr>
      </w:pPr>
    </w:p>
    <w:p w14:paraId="329D3D85" w14:textId="77777777" w:rsidR="00DE0D72" w:rsidRPr="0075481A" w:rsidRDefault="00AA324E" w:rsidP="00131D13">
      <w:pPr>
        <w:spacing w:after="0" w:line="240" w:lineRule="auto"/>
        <w:rPr>
          <w:rFonts w:ascii="Times New Roman" w:eastAsia="Calibri" w:hAnsi="Times New Roman" w:cs="Times New Roman"/>
        </w:rPr>
      </w:pPr>
      <w:r w:rsidRPr="0075481A">
        <w:rPr>
          <w:rFonts w:ascii="Times New Roman" w:eastAsia="Calibri" w:hAnsi="Times New Roman" w:cs="Times New Roman"/>
          <w:b/>
          <w:bCs/>
        </w:rPr>
        <w:t>Materijalni troškovi</w:t>
      </w:r>
      <w:r w:rsidRPr="0075481A">
        <w:rPr>
          <w:rFonts w:ascii="Times New Roman" w:eastAsia="Calibri" w:hAnsi="Times New Roman" w:cs="Times New Roman"/>
        </w:rPr>
        <w:t xml:space="preserve"> na kraju 2023. godine iznosili su </w:t>
      </w:r>
      <w:r w:rsidR="00DE0D72" w:rsidRPr="0075481A">
        <w:rPr>
          <w:rFonts w:ascii="Times New Roman" w:eastAsia="Calibri" w:hAnsi="Times New Roman" w:cs="Times New Roman"/>
        </w:rPr>
        <w:t>1.086.688,90</w:t>
      </w:r>
      <w:r w:rsidRPr="0075481A">
        <w:rPr>
          <w:rFonts w:ascii="Times New Roman" w:eastAsia="Calibri" w:hAnsi="Times New Roman" w:cs="Times New Roman"/>
        </w:rPr>
        <w:t xml:space="preserve"> EUR što predstavlja povećanje od </w:t>
      </w:r>
      <w:r w:rsidR="00DE0D72" w:rsidRPr="0075481A">
        <w:rPr>
          <w:rFonts w:ascii="Times New Roman" w:eastAsia="Calibri" w:hAnsi="Times New Roman" w:cs="Times New Roman"/>
        </w:rPr>
        <w:t>4</w:t>
      </w:r>
      <w:r w:rsidRPr="0075481A">
        <w:rPr>
          <w:rFonts w:ascii="Times New Roman" w:eastAsia="Calibri" w:hAnsi="Times New Roman" w:cs="Times New Roman"/>
        </w:rPr>
        <w:t>% u odnosu na prethodnu godinu zbog većih troškova nabave prodane robe</w:t>
      </w:r>
    </w:p>
    <w:p w14:paraId="03099F17" w14:textId="6312E9D9" w:rsidR="00131D13" w:rsidRPr="0075481A" w:rsidRDefault="00AA324E" w:rsidP="00131D13">
      <w:pPr>
        <w:spacing w:after="0" w:line="240" w:lineRule="auto"/>
        <w:rPr>
          <w:rFonts w:ascii="Times New Roman" w:eastAsia="Times New Roman" w:hAnsi="Times New Roman" w:cs="Times New Roman"/>
          <w:b/>
        </w:rPr>
      </w:pPr>
      <w:r w:rsidRPr="0075481A">
        <w:rPr>
          <w:rFonts w:ascii="Times New Roman" w:eastAsia="Calibri" w:hAnsi="Times New Roman" w:cs="Times New Roman"/>
        </w:rPr>
        <w:t xml:space="preserve"> ( prodaje u trgovini). Na poziciji utrošeni materijal i sirovine u osnovnoj djelatnosti bilježi pad od </w:t>
      </w:r>
      <w:r w:rsidR="00DE0D72" w:rsidRPr="0075481A">
        <w:rPr>
          <w:rFonts w:ascii="Times New Roman" w:eastAsia="Calibri" w:hAnsi="Times New Roman" w:cs="Times New Roman"/>
        </w:rPr>
        <w:t>1</w:t>
      </w:r>
      <w:r w:rsidRPr="0075481A">
        <w:rPr>
          <w:rFonts w:ascii="Times New Roman" w:eastAsia="Calibri" w:hAnsi="Times New Roman" w:cs="Times New Roman"/>
        </w:rPr>
        <w:t xml:space="preserve"> %, a odnosi se na nabavnu vrijednost prodane pogrebne opreme za sahranu pokojnika. Iz prikaza fizičkih pokazatelja vidljivo je da je nešto manje broj sahrana u odnosu na 2022. godinu</w:t>
      </w:r>
    </w:p>
    <w:p w14:paraId="5717A84A" w14:textId="77777777" w:rsidR="008675AD" w:rsidRPr="0075481A" w:rsidRDefault="008675AD" w:rsidP="00131D13">
      <w:pPr>
        <w:spacing w:after="0" w:line="240" w:lineRule="auto"/>
        <w:rPr>
          <w:rFonts w:ascii="Times New Roman" w:eastAsia="Times New Roman" w:hAnsi="Times New Roman" w:cs="Times New Roman"/>
          <w:b/>
        </w:rPr>
      </w:pPr>
    </w:p>
    <w:p w14:paraId="7F122113" w14:textId="564CA183"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rPr>
        <w:t xml:space="preserve"> </w:t>
      </w:r>
      <w:r w:rsidRPr="0075481A">
        <w:rPr>
          <w:rFonts w:ascii="Times New Roman" w:eastAsia="Times New Roman" w:hAnsi="Times New Roman" w:cs="Times New Roman"/>
          <w:b/>
        </w:rPr>
        <w:t>Bilješka 1</w:t>
      </w:r>
      <w:r w:rsidR="00DE0D72" w:rsidRPr="0075481A">
        <w:rPr>
          <w:rFonts w:ascii="Times New Roman" w:eastAsia="Times New Roman" w:hAnsi="Times New Roman" w:cs="Times New Roman"/>
          <w:b/>
        </w:rPr>
        <w:t>7</w:t>
      </w:r>
      <w:r w:rsidRPr="0075481A">
        <w:rPr>
          <w:rFonts w:ascii="Times New Roman" w:eastAsia="Times New Roman" w:hAnsi="Times New Roman" w:cs="Times New Roman"/>
          <w:b/>
        </w:rPr>
        <w:t>. Ostali vanjski troškovi</w:t>
      </w:r>
    </w:p>
    <w:p w14:paraId="758BD175" w14:textId="77777777" w:rsidR="00131D13" w:rsidRPr="0075481A" w:rsidRDefault="00131D13" w:rsidP="00131D13">
      <w:pPr>
        <w:spacing w:after="0" w:line="240" w:lineRule="auto"/>
        <w:rPr>
          <w:rFonts w:ascii="Times New Roman" w:eastAsia="Times New Roman" w:hAnsi="Times New Roman" w:cs="Times New Roman"/>
        </w:rPr>
      </w:pPr>
    </w:p>
    <w:p w14:paraId="0FEF6394" w14:textId="3B71F7A8" w:rsidR="00131D13" w:rsidRPr="0075481A" w:rsidRDefault="00131D13" w:rsidP="00131D13">
      <w:pPr>
        <w:spacing w:after="0" w:line="240" w:lineRule="auto"/>
        <w:rPr>
          <w:rFonts w:ascii="Times New Roman" w:eastAsia="Times New Roman" w:hAnsi="Times New Roman" w:cs="Times New Roman"/>
        </w:rPr>
      </w:pPr>
      <w:r w:rsidRPr="0075481A">
        <w:rPr>
          <w:rFonts w:ascii="Times New Roman" w:eastAsia="Times New Roman" w:hAnsi="Times New Roman" w:cs="Times New Roman"/>
          <w:b/>
          <w:bCs/>
        </w:rPr>
        <w:t>Ostali vanjski troškovi</w:t>
      </w:r>
      <w:r w:rsidRPr="0075481A">
        <w:rPr>
          <w:rFonts w:ascii="Times New Roman" w:eastAsia="Times New Roman" w:hAnsi="Times New Roman" w:cs="Times New Roman"/>
        </w:rPr>
        <w:t xml:space="preserve"> iznose u 20</w:t>
      </w:r>
      <w:r w:rsidR="008C1B1B" w:rsidRPr="0075481A">
        <w:rPr>
          <w:rFonts w:ascii="Times New Roman" w:eastAsia="Times New Roman" w:hAnsi="Times New Roman" w:cs="Times New Roman"/>
        </w:rPr>
        <w:t>2</w:t>
      </w:r>
      <w:r w:rsidR="00DE0D72" w:rsidRPr="0075481A">
        <w:rPr>
          <w:rFonts w:ascii="Times New Roman" w:eastAsia="Times New Roman" w:hAnsi="Times New Roman" w:cs="Times New Roman"/>
        </w:rPr>
        <w:t>3</w:t>
      </w:r>
      <w:r w:rsidRPr="0075481A">
        <w:rPr>
          <w:rFonts w:ascii="Times New Roman" w:eastAsia="Times New Roman" w:hAnsi="Times New Roman" w:cs="Times New Roman"/>
        </w:rPr>
        <w:t xml:space="preserve">. godini  </w:t>
      </w:r>
      <w:r w:rsidR="00DE0D72" w:rsidRPr="0075481A">
        <w:rPr>
          <w:rFonts w:ascii="Times New Roman" w:eastAsia="Times New Roman" w:hAnsi="Times New Roman" w:cs="Times New Roman"/>
        </w:rPr>
        <w:t>295.718,22 EUR</w:t>
      </w:r>
      <w:r w:rsidRPr="0075481A">
        <w:rPr>
          <w:rFonts w:ascii="Times New Roman" w:eastAsia="Times New Roman" w:hAnsi="Times New Roman" w:cs="Times New Roman"/>
        </w:rPr>
        <w:t>, sljedeće strukture</w:t>
      </w:r>
    </w:p>
    <w:p w14:paraId="78649F3B" w14:textId="77777777" w:rsidR="00485D29" w:rsidRPr="0075481A" w:rsidRDefault="00485D29" w:rsidP="00131D13">
      <w:pPr>
        <w:spacing w:after="0" w:line="240" w:lineRule="auto"/>
        <w:rPr>
          <w:rFonts w:ascii="Times New Roman" w:eastAsia="Times New Roman" w:hAnsi="Times New Roman" w:cs="Times New Roman"/>
        </w:rPr>
      </w:pPr>
    </w:p>
    <w:tbl>
      <w:tblPr>
        <w:tblStyle w:val="Tablicareetke2-isticanje3"/>
        <w:tblW w:w="0" w:type="auto"/>
        <w:tblLook w:val="04A0" w:firstRow="1" w:lastRow="0" w:firstColumn="1" w:lastColumn="0" w:noHBand="0" w:noVBand="1"/>
      </w:tblPr>
      <w:tblGrid>
        <w:gridCol w:w="4253"/>
        <w:gridCol w:w="1696"/>
        <w:gridCol w:w="1564"/>
        <w:gridCol w:w="882"/>
      </w:tblGrid>
      <w:tr w:rsidR="00485D29" w:rsidRPr="0075481A" w14:paraId="1CEB1ACA" w14:textId="77777777" w:rsidTr="00EB3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17D7DD3E" w14:textId="0A7A2DC8" w:rsidR="00485D29" w:rsidRPr="0075481A" w:rsidRDefault="00485D29" w:rsidP="00803BE9">
            <w:pPr>
              <w:spacing w:line="276" w:lineRule="auto"/>
              <w:contextualSpacing/>
              <w:rPr>
                <w:rFonts w:ascii="Times New Roman" w:eastAsia="Calibri" w:hAnsi="Times New Roman" w:cs="Times New Roman"/>
                <w:bCs w:val="0"/>
              </w:rPr>
            </w:pPr>
            <w:r w:rsidRPr="0075481A">
              <w:rPr>
                <w:rFonts w:ascii="Times New Roman" w:eastAsia="Calibri" w:hAnsi="Times New Roman" w:cs="Times New Roman"/>
                <w:bCs w:val="0"/>
              </w:rPr>
              <w:t>Naziv pozicije</w:t>
            </w:r>
          </w:p>
        </w:tc>
        <w:tc>
          <w:tcPr>
            <w:tcW w:w="1696" w:type="dxa"/>
          </w:tcPr>
          <w:p w14:paraId="330412E7" w14:textId="3595DB3D" w:rsidR="00485D29" w:rsidRPr="00550527" w:rsidRDefault="00485D29" w:rsidP="00DE0D72">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550527">
              <w:rPr>
                <w:rFonts w:ascii="Times New Roman" w:eastAsia="Calibri" w:hAnsi="Times New Roman" w:cs="Times New Roman"/>
                <w:bCs w:val="0"/>
              </w:rPr>
              <w:t>Stanje na 31.12.20</w:t>
            </w:r>
            <w:r w:rsidR="00E57841" w:rsidRPr="00550527">
              <w:rPr>
                <w:rFonts w:ascii="Times New Roman" w:eastAsia="Calibri" w:hAnsi="Times New Roman" w:cs="Times New Roman"/>
                <w:bCs w:val="0"/>
              </w:rPr>
              <w:t>2</w:t>
            </w:r>
            <w:r w:rsidR="00DE0D72" w:rsidRPr="00550527">
              <w:rPr>
                <w:rFonts w:ascii="Times New Roman" w:eastAsia="Calibri" w:hAnsi="Times New Roman" w:cs="Times New Roman"/>
                <w:bCs w:val="0"/>
              </w:rPr>
              <w:t>2</w:t>
            </w:r>
            <w:r w:rsidRPr="00550527">
              <w:rPr>
                <w:rFonts w:ascii="Times New Roman" w:eastAsia="Calibri" w:hAnsi="Times New Roman" w:cs="Times New Roman"/>
                <w:bCs w:val="0"/>
              </w:rPr>
              <w:t>.</w:t>
            </w:r>
          </w:p>
        </w:tc>
        <w:tc>
          <w:tcPr>
            <w:tcW w:w="1564" w:type="dxa"/>
          </w:tcPr>
          <w:p w14:paraId="007AD019" w14:textId="4BEE7A86" w:rsidR="00485D29" w:rsidRPr="00550527" w:rsidRDefault="00485D29" w:rsidP="00DE0D72">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550527">
              <w:rPr>
                <w:rFonts w:ascii="Times New Roman" w:eastAsia="Calibri" w:hAnsi="Times New Roman" w:cs="Times New Roman"/>
                <w:bCs w:val="0"/>
              </w:rPr>
              <w:t>Stanje na 31.12.202</w:t>
            </w:r>
            <w:r w:rsidR="00DE0D72" w:rsidRPr="00550527">
              <w:rPr>
                <w:rFonts w:ascii="Times New Roman" w:eastAsia="Calibri" w:hAnsi="Times New Roman" w:cs="Times New Roman"/>
                <w:bCs w:val="0"/>
              </w:rPr>
              <w:t>3</w:t>
            </w:r>
            <w:r w:rsidRPr="00550527">
              <w:rPr>
                <w:rFonts w:ascii="Times New Roman" w:eastAsia="Calibri" w:hAnsi="Times New Roman" w:cs="Times New Roman"/>
                <w:bCs w:val="0"/>
              </w:rPr>
              <w:t>.</w:t>
            </w:r>
          </w:p>
        </w:tc>
        <w:tc>
          <w:tcPr>
            <w:tcW w:w="882" w:type="dxa"/>
          </w:tcPr>
          <w:p w14:paraId="028E01E3" w14:textId="77777777" w:rsidR="00485D29" w:rsidRPr="00550527" w:rsidRDefault="00485D29" w:rsidP="00803BE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550527">
              <w:rPr>
                <w:rFonts w:ascii="Times New Roman" w:eastAsia="Calibri" w:hAnsi="Times New Roman" w:cs="Times New Roman"/>
                <w:bCs w:val="0"/>
              </w:rPr>
              <w:t>IND</w:t>
            </w:r>
          </w:p>
        </w:tc>
      </w:tr>
      <w:tr w:rsidR="00DE0D72" w:rsidRPr="0075481A" w14:paraId="4AB4C809"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026F74A3" w14:textId="30D80649"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prijevoza i telekomunikacije</w:t>
            </w:r>
          </w:p>
        </w:tc>
        <w:tc>
          <w:tcPr>
            <w:tcW w:w="1696" w:type="dxa"/>
          </w:tcPr>
          <w:p w14:paraId="08DA53B8" w14:textId="3817E27F" w:rsidR="00DE0D72" w:rsidRPr="00550527" w:rsidRDefault="00DE0D72" w:rsidP="008F4CEA">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19.428,0</w:t>
            </w:r>
            <w:r w:rsidR="008F4CEA" w:rsidRPr="00550527">
              <w:rPr>
                <w:rFonts w:ascii="Times New Roman" w:eastAsia="Calibri" w:hAnsi="Times New Roman" w:cs="Times New Roman"/>
              </w:rPr>
              <w:t>1</w:t>
            </w:r>
          </w:p>
        </w:tc>
        <w:tc>
          <w:tcPr>
            <w:tcW w:w="1564" w:type="dxa"/>
          </w:tcPr>
          <w:p w14:paraId="3ACA620C" w14:textId="3871288E" w:rsidR="00DE0D72" w:rsidRPr="00550527" w:rsidRDefault="008F4CEA" w:rsidP="008F4CEA">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19.288,22</w:t>
            </w:r>
          </w:p>
        </w:tc>
        <w:tc>
          <w:tcPr>
            <w:tcW w:w="882" w:type="dxa"/>
          </w:tcPr>
          <w:p w14:paraId="01202EEC" w14:textId="4936A689" w:rsidR="00DE0D72" w:rsidRPr="00550527" w:rsidRDefault="00866DB9" w:rsidP="00DE0D72">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99</w:t>
            </w:r>
          </w:p>
        </w:tc>
      </w:tr>
      <w:tr w:rsidR="00DE0D72" w:rsidRPr="0075481A" w14:paraId="7AB8D8FD"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146AD2DF" w14:textId="6C564119"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vanjskih usluga pri izradi proizvoda</w:t>
            </w:r>
          </w:p>
        </w:tc>
        <w:tc>
          <w:tcPr>
            <w:tcW w:w="1696" w:type="dxa"/>
          </w:tcPr>
          <w:p w14:paraId="61286C88" w14:textId="289228AF" w:rsidR="00DE0D72" w:rsidRPr="00550527" w:rsidRDefault="00DE0D72" w:rsidP="008F4CEA">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8</w:t>
            </w:r>
            <w:r w:rsidR="008F4CEA" w:rsidRPr="00550527">
              <w:rPr>
                <w:rFonts w:ascii="Times New Roman" w:eastAsia="Calibri" w:hAnsi="Times New Roman" w:cs="Times New Roman"/>
              </w:rPr>
              <w:t>.5</w:t>
            </w:r>
            <w:r w:rsidRPr="00550527">
              <w:rPr>
                <w:rFonts w:ascii="Times New Roman" w:eastAsia="Calibri" w:hAnsi="Times New Roman" w:cs="Times New Roman"/>
              </w:rPr>
              <w:t>70,0</w:t>
            </w:r>
            <w:r w:rsidR="008F4CEA" w:rsidRPr="00550527">
              <w:rPr>
                <w:rFonts w:ascii="Times New Roman" w:eastAsia="Calibri" w:hAnsi="Times New Roman" w:cs="Times New Roman"/>
              </w:rPr>
              <w:t>9</w:t>
            </w:r>
          </w:p>
        </w:tc>
        <w:tc>
          <w:tcPr>
            <w:tcW w:w="1564" w:type="dxa"/>
          </w:tcPr>
          <w:p w14:paraId="66D88E19" w14:textId="58FF07C6" w:rsidR="00DE0D72" w:rsidRPr="00550527" w:rsidRDefault="008F4CEA" w:rsidP="008F4CEA">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18.264,35</w:t>
            </w:r>
          </w:p>
        </w:tc>
        <w:tc>
          <w:tcPr>
            <w:tcW w:w="882" w:type="dxa"/>
          </w:tcPr>
          <w:p w14:paraId="1CD0361E" w14:textId="6B8F4B2D" w:rsidR="00DE0D72" w:rsidRPr="00550527" w:rsidRDefault="00DE0D72" w:rsidP="00866DB9">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w:t>
            </w:r>
            <w:r w:rsidR="00866DB9" w:rsidRPr="00550527">
              <w:rPr>
                <w:rFonts w:ascii="Times New Roman" w:eastAsia="Calibri" w:hAnsi="Times New Roman" w:cs="Times New Roman"/>
              </w:rPr>
              <w:t>13</w:t>
            </w:r>
          </w:p>
        </w:tc>
      </w:tr>
      <w:tr w:rsidR="00DE0D72" w:rsidRPr="0075481A" w14:paraId="3DF7BC53"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06955AD" w14:textId="48854968"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usluga održavanja</w:t>
            </w:r>
          </w:p>
        </w:tc>
        <w:tc>
          <w:tcPr>
            <w:tcW w:w="1696" w:type="dxa"/>
          </w:tcPr>
          <w:p w14:paraId="040899C1" w14:textId="4A4FA8D1" w:rsidR="00DE0D72" w:rsidRPr="00550527" w:rsidRDefault="00DE0D72" w:rsidP="008F4CEA">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49.533,</w:t>
            </w:r>
            <w:r w:rsidR="008F4CEA" w:rsidRPr="00550527">
              <w:rPr>
                <w:rFonts w:ascii="Times New Roman" w:eastAsia="Calibri" w:hAnsi="Times New Roman" w:cs="Times New Roman"/>
              </w:rPr>
              <w:t>13</w:t>
            </w:r>
          </w:p>
        </w:tc>
        <w:tc>
          <w:tcPr>
            <w:tcW w:w="1564" w:type="dxa"/>
          </w:tcPr>
          <w:p w14:paraId="58FF34AA" w14:textId="4164A43E" w:rsidR="00DE0D72" w:rsidRPr="00550527" w:rsidRDefault="008F4CEA" w:rsidP="00866DB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72.024,</w:t>
            </w:r>
            <w:r w:rsidR="00866DB9" w:rsidRPr="00550527">
              <w:rPr>
                <w:rFonts w:ascii="Times New Roman" w:eastAsia="Calibri" w:hAnsi="Times New Roman" w:cs="Times New Roman"/>
              </w:rPr>
              <w:t>15</w:t>
            </w:r>
          </w:p>
        </w:tc>
        <w:tc>
          <w:tcPr>
            <w:tcW w:w="882" w:type="dxa"/>
          </w:tcPr>
          <w:p w14:paraId="51943666" w14:textId="646AC7DB" w:rsidR="00DE0D72" w:rsidRPr="00550527" w:rsidRDefault="00DE0D72" w:rsidP="00DE0D72">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128</w:t>
            </w:r>
          </w:p>
        </w:tc>
      </w:tr>
      <w:tr w:rsidR="00DE0D72" w:rsidRPr="0075481A" w14:paraId="2DA9C3B8"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64008AC0" w14:textId="52BFC891"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zakupnina i najamnina</w:t>
            </w:r>
          </w:p>
        </w:tc>
        <w:tc>
          <w:tcPr>
            <w:tcW w:w="1696" w:type="dxa"/>
          </w:tcPr>
          <w:p w14:paraId="03D7D659" w14:textId="0B502255" w:rsidR="00DE0D72" w:rsidRPr="00550527" w:rsidRDefault="00DE0D72" w:rsidP="008F4CEA">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4.13</w:t>
            </w:r>
            <w:r w:rsidR="008F4CEA" w:rsidRPr="00550527">
              <w:rPr>
                <w:rFonts w:ascii="Times New Roman" w:eastAsia="Calibri" w:hAnsi="Times New Roman" w:cs="Times New Roman"/>
              </w:rPr>
              <w:t>7</w:t>
            </w:r>
            <w:r w:rsidRPr="00550527">
              <w:rPr>
                <w:rFonts w:ascii="Times New Roman" w:eastAsia="Calibri" w:hAnsi="Times New Roman" w:cs="Times New Roman"/>
              </w:rPr>
              <w:t>,0</w:t>
            </w:r>
            <w:r w:rsidR="008F4CEA" w:rsidRPr="00550527">
              <w:rPr>
                <w:rFonts w:ascii="Times New Roman" w:eastAsia="Calibri" w:hAnsi="Times New Roman" w:cs="Times New Roman"/>
              </w:rPr>
              <w:t>1</w:t>
            </w:r>
          </w:p>
        </w:tc>
        <w:tc>
          <w:tcPr>
            <w:tcW w:w="1564" w:type="dxa"/>
          </w:tcPr>
          <w:p w14:paraId="0A46CBB5" w14:textId="3BB0A3CE" w:rsidR="00DE0D72" w:rsidRPr="00550527" w:rsidRDefault="008F4CEA" w:rsidP="00866DB9">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6.103,0</w:t>
            </w:r>
            <w:r w:rsidR="00866DB9" w:rsidRPr="00550527">
              <w:rPr>
                <w:rFonts w:ascii="Times New Roman" w:eastAsia="Calibri" w:hAnsi="Times New Roman" w:cs="Times New Roman"/>
              </w:rPr>
              <w:t>2</w:t>
            </w:r>
          </w:p>
        </w:tc>
        <w:tc>
          <w:tcPr>
            <w:tcW w:w="882" w:type="dxa"/>
          </w:tcPr>
          <w:p w14:paraId="59019B25" w14:textId="4357EF18" w:rsidR="00DE0D72" w:rsidRPr="00550527" w:rsidRDefault="00866DB9" w:rsidP="00DE0D72">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145</w:t>
            </w:r>
          </w:p>
        </w:tc>
      </w:tr>
      <w:tr w:rsidR="00DE0D72" w:rsidRPr="0075481A" w14:paraId="5DE04CD6"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505716BD" w14:textId="54AB7F9B"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promidžbe</w:t>
            </w:r>
          </w:p>
        </w:tc>
        <w:tc>
          <w:tcPr>
            <w:tcW w:w="1696" w:type="dxa"/>
          </w:tcPr>
          <w:p w14:paraId="38102362" w14:textId="5B8199C9" w:rsidR="00DE0D72" w:rsidRPr="00550527" w:rsidRDefault="00DE0D72" w:rsidP="00DE0D72">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w:t>
            </w:r>
          </w:p>
        </w:tc>
        <w:tc>
          <w:tcPr>
            <w:tcW w:w="1564" w:type="dxa"/>
          </w:tcPr>
          <w:p w14:paraId="5E2A2E75" w14:textId="47AD0558" w:rsidR="00DE0D72" w:rsidRPr="00550527" w:rsidRDefault="008F4CEA" w:rsidP="00866DB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3.065,</w:t>
            </w:r>
            <w:r w:rsidR="00866DB9" w:rsidRPr="00550527">
              <w:rPr>
                <w:rFonts w:ascii="Times New Roman" w:eastAsia="Calibri" w:hAnsi="Times New Roman" w:cs="Times New Roman"/>
              </w:rPr>
              <w:t>11</w:t>
            </w:r>
          </w:p>
        </w:tc>
        <w:tc>
          <w:tcPr>
            <w:tcW w:w="882" w:type="dxa"/>
          </w:tcPr>
          <w:p w14:paraId="13451FC4" w14:textId="6A771A76" w:rsidR="00DE0D72" w:rsidRPr="00550527" w:rsidRDefault="00DE0D72" w:rsidP="00DE0D72">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w:t>
            </w:r>
          </w:p>
        </w:tc>
      </w:tr>
      <w:tr w:rsidR="00DE0D72" w:rsidRPr="0075481A" w14:paraId="06DC3094"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11D17448" w14:textId="7222367E"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intelektualnih usluga</w:t>
            </w:r>
          </w:p>
        </w:tc>
        <w:tc>
          <w:tcPr>
            <w:tcW w:w="1696" w:type="dxa"/>
          </w:tcPr>
          <w:p w14:paraId="2B66B231" w14:textId="26452D62" w:rsidR="00DE0D72" w:rsidRPr="00550527" w:rsidRDefault="008F4CEA" w:rsidP="008F4CEA">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14.695,97</w:t>
            </w:r>
          </w:p>
        </w:tc>
        <w:tc>
          <w:tcPr>
            <w:tcW w:w="1564" w:type="dxa"/>
          </w:tcPr>
          <w:p w14:paraId="1DCED8F2" w14:textId="0E41F73B" w:rsidR="00DE0D72" w:rsidRPr="00550527" w:rsidRDefault="008F4CEA" w:rsidP="00866DB9">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14.081,0</w:t>
            </w:r>
            <w:r w:rsidR="00866DB9" w:rsidRPr="00550527">
              <w:rPr>
                <w:rFonts w:ascii="Times New Roman" w:eastAsia="Calibri" w:hAnsi="Times New Roman" w:cs="Times New Roman"/>
              </w:rPr>
              <w:t>4</w:t>
            </w:r>
          </w:p>
        </w:tc>
        <w:tc>
          <w:tcPr>
            <w:tcW w:w="882" w:type="dxa"/>
          </w:tcPr>
          <w:p w14:paraId="236578E8" w14:textId="763F1B5F" w:rsidR="00DE0D72" w:rsidRPr="00550527" w:rsidRDefault="00DE0D72" w:rsidP="00DE0D72">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96</w:t>
            </w:r>
          </w:p>
        </w:tc>
      </w:tr>
      <w:tr w:rsidR="00DE0D72" w:rsidRPr="0075481A" w14:paraId="3BD31A22"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97B7CA1" w14:textId="280E9280"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komunalnih usluga</w:t>
            </w:r>
          </w:p>
        </w:tc>
        <w:tc>
          <w:tcPr>
            <w:tcW w:w="1696" w:type="dxa"/>
          </w:tcPr>
          <w:p w14:paraId="0168F5D9" w14:textId="73E66527" w:rsidR="00DE0D72" w:rsidRPr="00550527" w:rsidRDefault="008F4CEA" w:rsidP="008F4CEA">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62.017,88</w:t>
            </w:r>
          </w:p>
        </w:tc>
        <w:tc>
          <w:tcPr>
            <w:tcW w:w="1564" w:type="dxa"/>
          </w:tcPr>
          <w:p w14:paraId="32AC32A4" w14:textId="3504D8BD" w:rsidR="00DE0D72" w:rsidRPr="00550527" w:rsidRDefault="008F4CEA" w:rsidP="00866DB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63.942,</w:t>
            </w:r>
            <w:r w:rsidR="00866DB9" w:rsidRPr="00550527">
              <w:rPr>
                <w:rFonts w:ascii="Times New Roman" w:eastAsia="Calibri" w:hAnsi="Times New Roman" w:cs="Times New Roman"/>
              </w:rPr>
              <w:t>13</w:t>
            </w:r>
          </w:p>
        </w:tc>
        <w:tc>
          <w:tcPr>
            <w:tcW w:w="882" w:type="dxa"/>
          </w:tcPr>
          <w:p w14:paraId="131F88E3" w14:textId="001A72E1" w:rsidR="00DE0D72" w:rsidRPr="00550527" w:rsidRDefault="00DE0D72" w:rsidP="00866DB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10</w:t>
            </w:r>
            <w:r w:rsidR="00866DB9" w:rsidRPr="00550527">
              <w:rPr>
                <w:rFonts w:ascii="Times New Roman" w:eastAsia="Calibri" w:hAnsi="Times New Roman" w:cs="Times New Roman"/>
              </w:rPr>
              <w:t>3</w:t>
            </w:r>
          </w:p>
        </w:tc>
      </w:tr>
      <w:tr w:rsidR="00DE0D72" w:rsidRPr="0075481A" w14:paraId="685346DA"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619715CC" w14:textId="027634FD"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bankarskih i sličnih usluga</w:t>
            </w:r>
          </w:p>
        </w:tc>
        <w:tc>
          <w:tcPr>
            <w:tcW w:w="1696" w:type="dxa"/>
          </w:tcPr>
          <w:p w14:paraId="7C2C0DEB" w14:textId="2E466C9C" w:rsidR="00DE0D72" w:rsidRPr="00550527" w:rsidRDefault="008F4CEA" w:rsidP="008F4CEA">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15.192,05</w:t>
            </w:r>
          </w:p>
        </w:tc>
        <w:tc>
          <w:tcPr>
            <w:tcW w:w="1564" w:type="dxa"/>
          </w:tcPr>
          <w:p w14:paraId="411EF645" w14:textId="6D9E4550" w:rsidR="00DE0D72" w:rsidRPr="00550527" w:rsidRDefault="008F4CEA" w:rsidP="00866DB9">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13.985,0</w:t>
            </w:r>
            <w:r w:rsidR="00866DB9" w:rsidRPr="00550527">
              <w:rPr>
                <w:rFonts w:ascii="Times New Roman" w:eastAsia="Calibri" w:hAnsi="Times New Roman" w:cs="Times New Roman"/>
              </w:rPr>
              <w:t>5</w:t>
            </w:r>
          </w:p>
        </w:tc>
        <w:tc>
          <w:tcPr>
            <w:tcW w:w="882" w:type="dxa"/>
          </w:tcPr>
          <w:p w14:paraId="5BDA7F52" w14:textId="6AB6AA12" w:rsidR="00DE0D72" w:rsidRPr="00550527" w:rsidRDefault="00866DB9" w:rsidP="00DE0D72">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92</w:t>
            </w:r>
          </w:p>
        </w:tc>
      </w:tr>
      <w:tr w:rsidR="00DE0D72" w:rsidRPr="0075481A" w14:paraId="7D9E97D5"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43211CF1" w14:textId="2D3D1E4D"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premije osiguranja</w:t>
            </w:r>
          </w:p>
        </w:tc>
        <w:tc>
          <w:tcPr>
            <w:tcW w:w="1696" w:type="dxa"/>
          </w:tcPr>
          <w:p w14:paraId="68600FE8" w14:textId="3A77249B" w:rsidR="00DE0D72" w:rsidRPr="00550527" w:rsidRDefault="008F4CEA" w:rsidP="008F4CEA">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23.726,04</w:t>
            </w:r>
          </w:p>
        </w:tc>
        <w:tc>
          <w:tcPr>
            <w:tcW w:w="1564" w:type="dxa"/>
          </w:tcPr>
          <w:p w14:paraId="484F26A0" w14:textId="0CD46521" w:rsidR="00DE0D72" w:rsidRPr="00550527" w:rsidRDefault="008F4CEA" w:rsidP="00866DB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18.889,0</w:t>
            </w:r>
            <w:r w:rsidR="00866DB9" w:rsidRPr="00550527">
              <w:rPr>
                <w:rFonts w:ascii="Times New Roman" w:eastAsia="Calibri" w:hAnsi="Times New Roman" w:cs="Times New Roman"/>
              </w:rPr>
              <w:t>5</w:t>
            </w:r>
          </w:p>
        </w:tc>
        <w:tc>
          <w:tcPr>
            <w:tcW w:w="882" w:type="dxa"/>
          </w:tcPr>
          <w:p w14:paraId="1F899ED2" w14:textId="0B54B782" w:rsidR="00DE0D72" w:rsidRPr="00550527" w:rsidRDefault="00866DB9" w:rsidP="00DE0D72">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80</w:t>
            </w:r>
          </w:p>
        </w:tc>
      </w:tr>
      <w:tr w:rsidR="00DE0D72" w:rsidRPr="0075481A" w14:paraId="3A10A9C8" w14:textId="77777777" w:rsidTr="00EB3EEA">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72870412" w14:textId="305C7100"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registracije vozila</w:t>
            </w:r>
          </w:p>
        </w:tc>
        <w:tc>
          <w:tcPr>
            <w:tcW w:w="1696" w:type="dxa"/>
          </w:tcPr>
          <w:p w14:paraId="40B415F5" w14:textId="092B83AA" w:rsidR="00DE0D72" w:rsidRPr="00550527" w:rsidRDefault="008F4CEA" w:rsidP="008F4CEA">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1.279,03</w:t>
            </w:r>
          </w:p>
        </w:tc>
        <w:tc>
          <w:tcPr>
            <w:tcW w:w="1564" w:type="dxa"/>
          </w:tcPr>
          <w:p w14:paraId="57BB35BD" w14:textId="11E8986B" w:rsidR="00DE0D72" w:rsidRPr="00550527" w:rsidRDefault="008F4CEA" w:rsidP="00866DB9">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1.087,</w:t>
            </w:r>
            <w:r w:rsidR="00866DB9" w:rsidRPr="00550527">
              <w:rPr>
                <w:rFonts w:ascii="Times New Roman" w:eastAsia="Calibri" w:hAnsi="Times New Roman" w:cs="Times New Roman"/>
              </w:rPr>
              <w:t>07</w:t>
            </w:r>
          </w:p>
        </w:tc>
        <w:tc>
          <w:tcPr>
            <w:tcW w:w="882" w:type="dxa"/>
          </w:tcPr>
          <w:p w14:paraId="4409766A" w14:textId="67D933DB" w:rsidR="00DE0D72" w:rsidRPr="00550527" w:rsidRDefault="00866DB9" w:rsidP="00DE0D72">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85</w:t>
            </w:r>
          </w:p>
        </w:tc>
      </w:tr>
      <w:tr w:rsidR="00DE0D72" w:rsidRPr="0075481A" w14:paraId="021F7AFD" w14:textId="77777777" w:rsidTr="00EB3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6A65D08" w14:textId="6DBDB8D3" w:rsidR="00DE0D72" w:rsidRPr="0075481A" w:rsidRDefault="00DE0D72" w:rsidP="00DE0D72">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Troškovi ostalih usluga</w:t>
            </w:r>
          </w:p>
        </w:tc>
        <w:tc>
          <w:tcPr>
            <w:tcW w:w="1696" w:type="dxa"/>
          </w:tcPr>
          <w:p w14:paraId="574BBC1E" w14:textId="32F31E6D" w:rsidR="00DE0D72" w:rsidRPr="00550527" w:rsidRDefault="008F4CEA" w:rsidP="008F4CEA">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64.458,01</w:t>
            </w:r>
          </w:p>
        </w:tc>
        <w:tc>
          <w:tcPr>
            <w:tcW w:w="1564" w:type="dxa"/>
          </w:tcPr>
          <w:p w14:paraId="0F7CBE4B" w14:textId="4E66E552" w:rsidR="00DE0D72" w:rsidRPr="00550527" w:rsidRDefault="008F4CEA" w:rsidP="00866DB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64.989,0</w:t>
            </w:r>
            <w:r w:rsidR="00866DB9" w:rsidRPr="00550527">
              <w:rPr>
                <w:rFonts w:ascii="Times New Roman" w:eastAsia="Calibri" w:hAnsi="Times New Roman" w:cs="Times New Roman"/>
              </w:rPr>
              <w:t>3</w:t>
            </w:r>
          </w:p>
        </w:tc>
        <w:tc>
          <w:tcPr>
            <w:tcW w:w="882" w:type="dxa"/>
          </w:tcPr>
          <w:p w14:paraId="3F9CEC3B" w14:textId="36F13A70" w:rsidR="00DE0D72" w:rsidRPr="00550527" w:rsidRDefault="00DE0D72" w:rsidP="00866DB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50527">
              <w:rPr>
                <w:rFonts w:ascii="Times New Roman" w:eastAsia="Calibri" w:hAnsi="Times New Roman" w:cs="Times New Roman"/>
              </w:rPr>
              <w:t>10</w:t>
            </w:r>
            <w:r w:rsidR="00866DB9" w:rsidRPr="00550527">
              <w:rPr>
                <w:rFonts w:ascii="Times New Roman" w:eastAsia="Calibri" w:hAnsi="Times New Roman" w:cs="Times New Roman"/>
              </w:rPr>
              <w:t>1</w:t>
            </w:r>
          </w:p>
        </w:tc>
      </w:tr>
      <w:tr w:rsidR="00DE0D72" w:rsidRPr="0075481A" w14:paraId="57169276" w14:textId="77777777" w:rsidTr="00EB3EEA">
        <w:tc>
          <w:tcPr>
            <w:cnfStyle w:val="001000000000" w:firstRow="0" w:lastRow="0" w:firstColumn="1" w:lastColumn="0" w:oddVBand="0" w:evenVBand="0" w:oddHBand="0" w:evenHBand="0" w:firstRowFirstColumn="0" w:firstRowLastColumn="0" w:lastRowFirstColumn="0" w:lastRowLastColumn="0"/>
            <w:tcW w:w="4253" w:type="dxa"/>
          </w:tcPr>
          <w:p w14:paraId="64C6252F" w14:textId="7A2BF71C" w:rsidR="00DE0D72" w:rsidRPr="0075481A" w:rsidRDefault="00DE0D72" w:rsidP="00DE0D72">
            <w:pPr>
              <w:spacing w:line="276" w:lineRule="auto"/>
              <w:contextualSpacing/>
              <w:rPr>
                <w:rFonts w:ascii="Times New Roman" w:eastAsia="Calibri" w:hAnsi="Times New Roman" w:cs="Times New Roman"/>
              </w:rPr>
            </w:pPr>
            <w:r w:rsidRPr="0075481A">
              <w:rPr>
                <w:rFonts w:ascii="Times New Roman" w:eastAsia="Calibri" w:hAnsi="Times New Roman" w:cs="Times New Roman"/>
              </w:rPr>
              <w:t>Ukupno vanjski troškovi</w:t>
            </w:r>
          </w:p>
        </w:tc>
        <w:tc>
          <w:tcPr>
            <w:tcW w:w="1696" w:type="dxa"/>
          </w:tcPr>
          <w:p w14:paraId="208D76E2" w14:textId="32CB1798" w:rsidR="00DE0D72" w:rsidRPr="00550527" w:rsidRDefault="008F4CEA" w:rsidP="00DE0D72">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550527">
              <w:rPr>
                <w:rFonts w:ascii="Times New Roman" w:eastAsia="Calibri" w:hAnsi="Times New Roman" w:cs="Times New Roman"/>
                <w:b/>
              </w:rPr>
              <w:t>263.039,20</w:t>
            </w:r>
          </w:p>
        </w:tc>
        <w:tc>
          <w:tcPr>
            <w:tcW w:w="1564" w:type="dxa"/>
          </w:tcPr>
          <w:p w14:paraId="6E168AC6" w14:textId="23DFEC84" w:rsidR="00DE0D72" w:rsidRPr="00550527" w:rsidRDefault="008F4CEA" w:rsidP="00DE0D72">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550527">
              <w:rPr>
                <w:rFonts w:ascii="Times New Roman" w:eastAsia="Calibri" w:hAnsi="Times New Roman" w:cs="Times New Roman"/>
                <w:b/>
              </w:rPr>
              <w:t>295.718,22</w:t>
            </w:r>
          </w:p>
        </w:tc>
        <w:tc>
          <w:tcPr>
            <w:tcW w:w="882" w:type="dxa"/>
          </w:tcPr>
          <w:p w14:paraId="71D6C37D" w14:textId="274E97A2" w:rsidR="00DE0D72" w:rsidRPr="00550527" w:rsidRDefault="00DE0D72" w:rsidP="00866DB9">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550527">
              <w:rPr>
                <w:rFonts w:ascii="Times New Roman" w:eastAsia="Calibri" w:hAnsi="Times New Roman" w:cs="Times New Roman"/>
                <w:b/>
              </w:rPr>
              <w:t>1</w:t>
            </w:r>
            <w:r w:rsidR="00866DB9" w:rsidRPr="00550527">
              <w:rPr>
                <w:rFonts w:ascii="Times New Roman" w:eastAsia="Calibri" w:hAnsi="Times New Roman" w:cs="Times New Roman"/>
                <w:b/>
              </w:rPr>
              <w:t>12</w:t>
            </w:r>
          </w:p>
        </w:tc>
      </w:tr>
    </w:tbl>
    <w:p w14:paraId="6DCBD1CC" w14:textId="77777777" w:rsidR="00A41FA8" w:rsidRPr="0075481A" w:rsidRDefault="00A41FA8" w:rsidP="00131D13">
      <w:pPr>
        <w:spacing w:after="0" w:line="240" w:lineRule="auto"/>
        <w:rPr>
          <w:rFonts w:ascii="Times New Roman" w:eastAsia="Times New Roman" w:hAnsi="Times New Roman" w:cs="Times New Roman"/>
        </w:rPr>
      </w:pPr>
    </w:p>
    <w:p w14:paraId="524AF786" w14:textId="31A59DD6"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1</w:t>
      </w:r>
      <w:r w:rsidR="00590D4A">
        <w:rPr>
          <w:rFonts w:ascii="Times New Roman" w:eastAsia="Times New Roman" w:hAnsi="Times New Roman" w:cs="Times New Roman"/>
          <w:b/>
        </w:rPr>
        <w:t>8</w:t>
      </w:r>
      <w:r w:rsidRPr="0075481A">
        <w:rPr>
          <w:rFonts w:ascii="Times New Roman" w:eastAsia="Times New Roman" w:hAnsi="Times New Roman" w:cs="Times New Roman"/>
          <w:b/>
        </w:rPr>
        <w:t>. Troškovi osoblja</w:t>
      </w:r>
    </w:p>
    <w:p w14:paraId="6462D2B3" w14:textId="77777777" w:rsidR="003E28E9" w:rsidRPr="0075481A" w:rsidRDefault="003E28E9" w:rsidP="00C32249">
      <w:pPr>
        <w:spacing w:after="0" w:line="276" w:lineRule="auto"/>
        <w:contextualSpacing/>
        <w:jc w:val="both"/>
        <w:rPr>
          <w:rFonts w:ascii="Times New Roman" w:eastAsia="Calibri" w:hAnsi="Times New Roman" w:cs="Times New Roman"/>
          <w:b/>
          <w:bCs/>
        </w:rPr>
      </w:pPr>
    </w:p>
    <w:p w14:paraId="54C632E0" w14:textId="3BD355D3" w:rsidR="00C74384" w:rsidRPr="0075481A" w:rsidRDefault="00C32249" w:rsidP="00C74384">
      <w:pPr>
        <w:pStyle w:val="Odlomakpopisa2"/>
        <w:ind w:left="0"/>
        <w:jc w:val="both"/>
        <w:rPr>
          <w:rFonts w:ascii="Times New Roman" w:eastAsia="Calibri" w:hAnsi="Times New Roman"/>
        </w:rPr>
      </w:pPr>
      <w:r w:rsidRPr="0075481A">
        <w:rPr>
          <w:rFonts w:ascii="Times New Roman" w:eastAsia="Calibri" w:hAnsi="Times New Roman"/>
          <w:b/>
          <w:bCs/>
        </w:rPr>
        <w:t xml:space="preserve">Troškovi osoblja </w:t>
      </w:r>
      <w:r w:rsidRPr="0075481A">
        <w:rPr>
          <w:rFonts w:ascii="Times New Roman" w:eastAsia="Calibri" w:hAnsi="Times New Roman"/>
        </w:rPr>
        <w:t xml:space="preserve">iznose </w:t>
      </w:r>
      <w:r w:rsidR="00C74384" w:rsidRPr="0075481A">
        <w:rPr>
          <w:rFonts w:ascii="Times New Roman" w:eastAsia="Calibri" w:hAnsi="Times New Roman"/>
        </w:rPr>
        <w:t>617.149</w:t>
      </w:r>
      <w:r w:rsidR="002A1944">
        <w:rPr>
          <w:rFonts w:ascii="Times New Roman" w:eastAsia="Calibri" w:hAnsi="Times New Roman"/>
        </w:rPr>
        <w:t xml:space="preserve">,02 </w:t>
      </w:r>
      <w:r w:rsidR="00C74384" w:rsidRPr="0075481A">
        <w:rPr>
          <w:rFonts w:ascii="Times New Roman" w:eastAsia="Calibri" w:hAnsi="Times New Roman"/>
        </w:rPr>
        <w:t>EUR</w:t>
      </w:r>
      <w:r w:rsidRPr="0075481A">
        <w:rPr>
          <w:rFonts w:ascii="Times New Roman" w:eastAsia="Calibri" w:hAnsi="Times New Roman"/>
        </w:rPr>
        <w:t xml:space="preserve"> te bilježi p</w:t>
      </w:r>
      <w:r w:rsidR="00C74384" w:rsidRPr="0075481A">
        <w:rPr>
          <w:rFonts w:ascii="Times New Roman" w:eastAsia="Calibri" w:hAnsi="Times New Roman"/>
        </w:rPr>
        <w:t>ad od 3%</w:t>
      </w:r>
      <w:r w:rsidRPr="0075481A">
        <w:rPr>
          <w:rFonts w:ascii="Times New Roman" w:eastAsia="Calibri" w:hAnsi="Times New Roman"/>
        </w:rPr>
        <w:t xml:space="preserve"> u odnosu na 202</w:t>
      </w:r>
      <w:r w:rsidR="00C74384" w:rsidRPr="0075481A">
        <w:rPr>
          <w:rFonts w:ascii="Times New Roman" w:eastAsia="Calibri" w:hAnsi="Times New Roman"/>
        </w:rPr>
        <w:t>2</w:t>
      </w:r>
      <w:r w:rsidRPr="0075481A">
        <w:rPr>
          <w:rFonts w:ascii="Times New Roman" w:eastAsia="Calibri" w:hAnsi="Times New Roman"/>
        </w:rPr>
        <w:t>.</w:t>
      </w:r>
      <w:r w:rsidR="00C74384" w:rsidRPr="0075481A">
        <w:rPr>
          <w:rFonts w:ascii="Times New Roman" w:eastAsia="Calibri" w:hAnsi="Times New Roman"/>
        </w:rPr>
        <w:t xml:space="preserve"> godinu.</w:t>
      </w:r>
    </w:p>
    <w:p w14:paraId="6A2A76DA" w14:textId="77777777" w:rsidR="00C74384" w:rsidRPr="0075481A" w:rsidRDefault="00C74384" w:rsidP="00C74384">
      <w:pPr>
        <w:spacing w:after="0" w:line="276" w:lineRule="auto"/>
        <w:contextualSpacing/>
        <w:jc w:val="both"/>
        <w:rPr>
          <w:rFonts w:ascii="Times New Roman" w:eastAsia="Times New Roman" w:hAnsi="Times New Roman" w:cs="Times New Roman"/>
          <w:bCs/>
        </w:rPr>
      </w:pPr>
      <w:r w:rsidRPr="0075481A">
        <w:rPr>
          <w:rFonts w:ascii="Times New Roman" w:eastAsia="Times New Roman" w:hAnsi="Times New Roman" w:cs="Times New Roman"/>
          <w:bCs/>
        </w:rPr>
        <w:t>Na kraju 2023. godine bilježimo pad od jednog radnika u odnosu na 2022. godinu.</w:t>
      </w:r>
    </w:p>
    <w:p w14:paraId="7A1E7FA7" w14:textId="2808F320" w:rsidR="00C74384" w:rsidRPr="0075481A" w:rsidRDefault="00C74384" w:rsidP="00C74384">
      <w:pPr>
        <w:spacing w:after="0" w:line="276" w:lineRule="auto"/>
        <w:contextualSpacing/>
        <w:jc w:val="both"/>
        <w:rPr>
          <w:rFonts w:ascii="Times New Roman" w:eastAsia="Times New Roman" w:hAnsi="Times New Roman" w:cs="Times New Roman"/>
          <w:noProof/>
          <w:color w:val="FF0000"/>
        </w:rPr>
      </w:pPr>
      <w:r w:rsidRPr="0075481A">
        <w:rPr>
          <w:rFonts w:ascii="Times New Roman" w:eastAsia="Times New Roman" w:hAnsi="Times New Roman" w:cs="Times New Roman"/>
          <w:bCs/>
        </w:rPr>
        <w:t xml:space="preserve">Osim navedenoga na pad troškova osoblja nastao je s osnove korištenja bolovanja na teret HZZO-a, korištenje </w:t>
      </w:r>
      <w:proofErr w:type="spellStart"/>
      <w:r w:rsidRPr="0075481A">
        <w:rPr>
          <w:rFonts w:ascii="Times New Roman" w:eastAsia="Times New Roman" w:hAnsi="Times New Roman" w:cs="Times New Roman"/>
          <w:bCs/>
        </w:rPr>
        <w:t>porodiljnog</w:t>
      </w:r>
      <w:proofErr w:type="spellEnd"/>
      <w:r w:rsidRPr="0075481A">
        <w:rPr>
          <w:rFonts w:ascii="Times New Roman" w:eastAsia="Times New Roman" w:hAnsi="Times New Roman" w:cs="Times New Roman"/>
          <w:bCs/>
        </w:rPr>
        <w:t xml:space="preserve"> dopusta, te odlaskom radnika u mirovinu. Dana 06.09.2023. godine potpisan je </w:t>
      </w:r>
      <w:proofErr w:type="spellStart"/>
      <w:r w:rsidRPr="0075481A">
        <w:rPr>
          <w:rFonts w:ascii="Times New Roman" w:eastAsia="Times New Roman" w:hAnsi="Times New Roman" w:cs="Times New Roman"/>
          <w:bCs/>
        </w:rPr>
        <w:t>Anex</w:t>
      </w:r>
      <w:proofErr w:type="spellEnd"/>
      <w:r w:rsidRPr="0075481A">
        <w:rPr>
          <w:rFonts w:ascii="Times New Roman" w:eastAsia="Times New Roman" w:hAnsi="Times New Roman" w:cs="Times New Roman"/>
          <w:bCs/>
        </w:rPr>
        <w:t xml:space="preserve"> br. 2. Kolektivnog ugovora sa osnovicom plaće od 540</w:t>
      </w:r>
      <w:r w:rsidR="005C28C4" w:rsidRPr="0075481A">
        <w:rPr>
          <w:rFonts w:ascii="Times New Roman" w:eastAsia="Times New Roman" w:hAnsi="Times New Roman" w:cs="Times New Roman"/>
          <w:bCs/>
        </w:rPr>
        <w:t>,00</w:t>
      </w:r>
      <w:r w:rsidRPr="0075481A">
        <w:rPr>
          <w:rFonts w:ascii="Times New Roman" w:eastAsia="Times New Roman" w:hAnsi="Times New Roman" w:cs="Times New Roman"/>
          <w:bCs/>
        </w:rPr>
        <w:t xml:space="preserve"> EUR </w:t>
      </w:r>
      <w:proofErr w:type="spellStart"/>
      <w:r w:rsidRPr="0075481A">
        <w:rPr>
          <w:rFonts w:ascii="Times New Roman" w:eastAsia="Times New Roman" w:hAnsi="Times New Roman" w:cs="Times New Roman"/>
          <w:bCs/>
        </w:rPr>
        <w:t>brutto</w:t>
      </w:r>
      <w:proofErr w:type="spellEnd"/>
      <w:r w:rsidRPr="0075481A">
        <w:rPr>
          <w:rFonts w:ascii="Times New Roman" w:eastAsia="Times New Roman" w:hAnsi="Times New Roman" w:cs="Times New Roman"/>
          <w:bCs/>
        </w:rPr>
        <w:t>, što je  povećanje osnovice od 4.5%.</w:t>
      </w:r>
    </w:p>
    <w:p w14:paraId="54DD12F4" w14:textId="77777777" w:rsidR="005708B4" w:rsidRDefault="005708B4" w:rsidP="00131D13">
      <w:pPr>
        <w:widowControl w:val="0"/>
        <w:spacing w:after="0" w:line="280" w:lineRule="exact"/>
        <w:jc w:val="both"/>
        <w:rPr>
          <w:rFonts w:ascii="Times New Roman" w:eastAsia="Times New Roman" w:hAnsi="Times New Roman" w:cs="Times New Roman"/>
          <w:b/>
        </w:rPr>
      </w:pPr>
    </w:p>
    <w:p w14:paraId="46DB5180" w14:textId="77777777" w:rsidR="00A81432" w:rsidRDefault="00A81432" w:rsidP="00131D13">
      <w:pPr>
        <w:widowControl w:val="0"/>
        <w:spacing w:after="0" w:line="280" w:lineRule="exact"/>
        <w:jc w:val="both"/>
        <w:rPr>
          <w:rFonts w:ascii="Times New Roman" w:eastAsia="Times New Roman" w:hAnsi="Times New Roman" w:cs="Times New Roman"/>
          <w:b/>
        </w:rPr>
      </w:pPr>
    </w:p>
    <w:p w14:paraId="66D2788F" w14:textId="77777777" w:rsidR="00A81432" w:rsidRDefault="00A81432" w:rsidP="00131D13">
      <w:pPr>
        <w:widowControl w:val="0"/>
        <w:spacing w:after="0" w:line="280" w:lineRule="exact"/>
        <w:jc w:val="both"/>
        <w:rPr>
          <w:rFonts w:ascii="Times New Roman" w:eastAsia="Times New Roman" w:hAnsi="Times New Roman" w:cs="Times New Roman"/>
          <w:b/>
        </w:rPr>
      </w:pPr>
    </w:p>
    <w:p w14:paraId="3368022E" w14:textId="38287EB2" w:rsidR="00A81432" w:rsidRPr="00A81432" w:rsidRDefault="00A81432" w:rsidP="00A81432">
      <w:pPr>
        <w:widowControl w:val="0"/>
        <w:spacing w:after="0" w:line="280" w:lineRule="exact"/>
        <w:jc w:val="right"/>
        <w:rPr>
          <w:rFonts w:ascii="Times New Roman" w:eastAsia="Times New Roman" w:hAnsi="Times New Roman" w:cs="Times New Roman"/>
        </w:rPr>
      </w:pPr>
      <w:r w:rsidRPr="00A81432">
        <w:rPr>
          <w:rFonts w:ascii="Times New Roman" w:eastAsia="Times New Roman" w:hAnsi="Times New Roman" w:cs="Times New Roman"/>
        </w:rPr>
        <w:t>12</w:t>
      </w:r>
    </w:p>
    <w:p w14:paraId="4BF44B9E" w14:textId="1800D938" w:rsidR="00131D13" w:rsidRPr="0075481A" w:rsidRDefault="00131D13" w:rsidP="00131D13">
      <w:pPr>
        <w:widowControl w:val="0"/>
        <w:spacing w:after="0" w:line="280" w:lineRule="exact"/>
        <w:jc w:val="both"/>
        <w:rPr>
          <w:rFonts w:ascii="Times New Roman" w:eastAsia="Times New Roman" w:hAnsi="Times New Roman" w:cs="Times New Roman"/>
          <w:b/>
        </w:rPr>
      </w:pPr>
      <w:r w:rsidRPr="0075481A">
        <w:rPr>
          <w:rFonts w:ascii="Times New Roman" w:eastAsia="Times New Roman" w:hAnsi="Times New Roman" w:cs="Times New Roman"/>
          <w:b/>
        </w:rPr>
        <w:lastRenderedPageBreak/>
        <w:t xml:space="preserve">Bilješka </w:t>
      </w:r>
      <w:r w:rsidR="00590D4A">
        <w:rPr>
          <w:rFonts w:ascii="Times New Roman" w:eastAsia="Times New Roman" w:hAnsi="Times New Roman" w:cs="Times New Roman"/>
          <w:b/>
        </w:rPr>
        <w:t>19</w:t>
      </w:r>
      <w:r w:rsidRPr="0075481A">
        <w:rPr>
          <w:rFonts w:ascii="Times New Roman" w:eastAsia="Times New Roman" w:hAnsi="Times New Roman" w:cs="Times New Roman"/>
          <w:b/>
        </w:rPr>
        <w:t>.  Troškovi amortizacije</w:t>
      </w:r>
    </w:p>
    <w:p w14:paraId="7605D7B1" w14:textId="77777777" w:rsidR="00131D13" w:rsidRPr="0075481A" w:rsidRDefault="00131D13" w:rsidP="00131D13">
      <w:pPr>
        <w:widowControl w:val="0"/>
        <w:spacing w:after="0" w:line="280" w:lineRule="exact"/>
        <w:jc w:val="both"/>
        <w:rPr>
          <w:rFonts w:ascii="Times New Roman" w:eastAsia="Times New Roman" w:hAnsi="Times New Roman" w:cs="Times New Roman"/>
        </w:rPr>
      </w:pPr>
      <w:r w:rsidRPr="0075481A">
        <w:rPr>
          <w:rFonts w:ascii="Times New Roman" w:eastAsia="Times New Roman" w:hAnsi="Times New Roman" w:cs="Times New Roman"/>
        </w:rPr>
        <w:t xml:space="preserve">  </w:t>
      </w:r>
    </w:p>
    <w:tbl>
      <w:tblPr>
        <w:tblStyle w:val="Tablicareetke2-isticanje3"/>
        <w:tblW w:w="0" w:type="auto"/>
        <w:tblLook w:val="04A0" w:firstRow="1" w:lastRow="0" w:firstColumn="1" w:lastColumn="0" w:noHBand="0" w:noVBand="1"/>
      </w:tblPr>
      <w:tblGrid>
        <w:gridCol w:w="4253"/>
        <w:gridCol w:w="1696"/>
        <w:gridCol w:w="1564"/>
        <w:gridCol w:w="882"/>
      </w:tblGrid>
      <w:tr w:rsidR="002E7078" w:rsidRPr="0075481A" w14:paraId="43D7EAED" w14:textId="77777777" w:rsidTr="00803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62BD3A3" w14:textId="77777777" w:rsidR="002E7078" w:rsidRPr="0075481A" w:rsidRDefault="002E7078" w:rsidP="00803BE9">
            <w:pPr>
              <w:spacing w:line="276" w:lineRule="auto"/>
              <w:contextualSpacing/>
              <w:rPr>
                <w:rFonts w:ascii="Times New Roman" w:eastAsia="Calibri" w:hAnsi="Times New Roman" w:cs="Times New Roman"/>
                <w:bCs w:val="0"/>
              </w:rPr>
            </w:pPr>
            <w:r w:rsidRPr="0075481A">
              <w:rPr>
                <w:rFonts w:ascii="Times New Roman" w:eastAsia="Calibri" w:hAnsi="Times New Roman" w:cs="Times New Roman"/>
                <w:bCs w:val="0"/>
              </w:rPr>
              <w:t>Naziv pozicije</w:t>
            </w:r>
          </w:p>
        </w:tc>
        <w:tc>
          <w:tcPr>
            <w:tcW w:w="1696" w:type="dxa"/>
          </w:tcPr>
          <w:p w14:paraId="5A62D9BF" w14:textId="64821946" w:rsidR="002E7078" w:rsidRPr="0075481A" w:rsidRDefault="002E7078" w:rsidP="005C28C4">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75481A">
              <w:rPr>
                <w:rFonts w:ascii="Times New Roman" w:eastAsia="Calibri" w:hAnsi="Times New Roman" w:cs="Times New Roman"/>
                <w:bCs w:val="0"/>
              </w:rPr>
              <w:t>Stanje na 31.12.20</w:t>
            </w:r>
            <w:r w:rsidR="00C32249" w:rsidRPr="0075481A">
              <w:rPr>
                <w:rFonts w:ascii="Times New Roman" w:eastAsia="Calibri" w:hAnsi="Times New Roman" w:cs="Times New Roman"/>
                <w:bCs w:val="0"/>
              </w:rPr>
              <w:t>2</w:t>
            </w:r>
            <w:r w:rsidR="005C28C4" w:rsidRPr="0075481A">
              <w:rPr>
                <w:rFonts w:ascii="Times New Roman" w:eastAsia="Calibri" w:hAnsi="Times New Roman" w:cs="Times New Roman"/>
                <w:bCs w:val="0"/>
              </w:rPr>
              <w:t>2</w:t>
            </w:r>
            <w:r w:rsidRPr="0075481A">
              <w:rPr>
                <w:rFonts w:ascii="Times New Roman" w:eastAsia="Calibri" w:hAnsi="Times New Roman" w:cs="Times New Roman"/>
                <w:bCs w:val="0"/>
              </w:rPr>
              <w:t>.</w:t>
            </w:r>
          </w:p>
        </w:tc>
        <w:tc>
          <w:tcPr>
            <w:tcW w:w="1564" w:type="dxa"/>
          </w:tcPr>
          <w:p w14:paraId="1D4863CF" w14:textId="0A637EB8" w:rsidR="002E7078" w:rsidRPr="0075481A" w:rsidRDefault="002E7078" w:rsidP="005C28C4">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75481A">
              <w:rPr>
                <w:rFonts w:ascii="Times New Roman" w:eastAsia="Calibri" w:hAnsi="Times New Roman" w:cs="Times New Roman"/>
                <w:bCs w:val="0"/>
              </w:rPr>
              <w:t>Stanje na 31.12.202</w:t>
            </w:r>
            <w:r w:rsidR="005C28C4" w:rsidRPr="0075481A">
              <w:rPr>
                <w:rFonts w:ascii="Times New Roman" w:eastAsia="Calibri" w:hAnsi="Times New Roman" w:cs="Times New Roman"/>
                <w:bCs w:val="0"/>
              </w:rPr>
              <w:t>3</w:t>
            </w:r>
            <w:r w:rsidRPr="0075481A">
              <w:rPr>
                <w:rFonts w:ascii="Times New Roman" w:eastAsia="Calibri" w:hAnsi="Times New Roman" w:cs="Times New Roman"/>
                <w:bCs w:val="0"/>
              </w:rPr>
              <w:t>.</w:t>
            </w:r>
          </w:p>
        </w:tc>
        <w:tc>
          <w:tcPr>
            <w:tcW w:w="882" w:type="dxa"/>
          </w:tcPr>
          <w:p w14:paraId="7D29B37E" w14:textId="77777777" w:rsidR="002E7078" w:rsidRPr="0075481A" w:rsidRDefault="002E7078" w:rsidP="00803BE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75481A">
              <w:rPr>
                <w:rFonts w:ascii="Times New Roman" w:eastAsia="Calibri" w:hAnsi="Times New Roman" w:cs="Times New Roman"/>
                <w:bCs w:val="0"/>
              </w:rPr>
              <w:t>IND</w:t>
            </w:r>
          </w:p>
        </w:tc>
      </w:tr>
      <w:tr w:rsidR="00C32249" w:rsidRPr="0075481A" w14:paraId="7045DF62" w14:textId="77777777" w:rsidTr="00803B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4D5C4D34" w14:textId="6B992594" w:rsidR="00C32249" w:rsidRPr="0075481A" w:rsidRDefault="00C32249" w:rsidP="00C32249">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Amortizacija građevinskih objekata</w:t>
            </w:r>
          </w:p>
        </w:tc>
        <w:tc>
          <w:tcPr>
            <w:tcW w:w="1696" w:type="dxa"/>
          </w:tcPr>
          <w:p w14:paraId="690AAC30" w14:textId="39E66A4A" w:rsidR="00C32249" w:rsidRPr="0075481A" w:rsidRDefault="00C32249" w:rsidP="00C3224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w:t>
            </w:r>
          </w:p>
        </w:tc>
        <w:tc>
          <w:tcPr>
            <w:tcW w:w="1564" w:type="dxa"/>
          </w:tcPr>
          <w:p w14:paraId="597CA7A5" w14:textId="381C7E65" w:rsidR="00C32249" w:rsidRPr="0075481A" w:rsidRDefault="00C32249" w:rsidP="00C3224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w:t>
            </w:r>
          </w:p>
        </w:tc>
        <w:tc>
          <w:tcPr>
            <w:tcW w:w="882" w:type="dxa"/>
          </w:tcPr>
          <w:p w14:paraId="1E384899" w14:textId="3829AF80" w:rsidR="00C32249" w:rsidRPr="0075481A" w:rsidRDefault="00C32249" w:rsidP="00C32249">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w:t>
            </w:r>
          </w:p>
        </w:tc>
      </w:tr>
      <w:tr w:rsidR="004F6845" w:rsidRPr="0075481A" w14:paraId="4BD9FE03" w14:textId="77777777" w:rsidTr="00803BE9">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4397AF95" w14:textId="24D7A16E" w:rsidR="004F6845" w:rsidRPr="0075481A" w:rsidRDefault="004F6845" w:rsidP="004F6845">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Amortizacija postrojenja i opreme</w:t>
            </w:r>
          </w:p>
        </w:tc>
        <w:tc>
          <w:tcPr>
            <w:tcW w:w="1696" w:type="dxa"/>
          </w:tcPr>
          <w:p w14:paraId="2D37C012" w14:textId="4595C246" w:rsidR="004F6845" w:rsidRPr="0075481A" w:rsidRDefault="005C28C4"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10.577,34</w:t>
            </w:r>
          </w:p>
        </w:tc>
        <w:tc>
          <w:tcPr>
            <w:tcW w:w="1564" w:type="dxa"/>
          </w:tcPr>
          <w:p w14:paraId="4ED03D51" w14:textId="7FFEEB4D" w:rsidR="004F6845" w:rsidRPr="0075481A" w:rsidRDefault="005C28C4"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15.566,61</w:t>
            </w:r>
          </w:p>
        </w:tc>
        <w:tc>
          <w:tcPr>
            <w:tcW w:w="882" w:type="dxa"/>
          </w:tcPr>
          <w:p w14:paraId="25CD30E8" w14:textId="3BE15B60" w:rsidR="004F6845" w:rsidRPr="0075481A" w:rsidRDefault="00BD32E1" w:rsidP="005C28C4">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1</w:t>
            </w:r>
            <w:r w:rsidR="005C28C4" w:rsidRPr="0075481A">
              <w:rPr>
                <w:rFonts w:ascii="Times New Roman" w:eastAsia="Calibri" w:hAnsi="Times New Roman" w:cs="Times New Roman"/>
              </w:rPr>
              <w:t>47</w:t>
            </w:r>
          </w:p>
        </w:tc>
      </w:tr>
      <w:tr w:rsidR="004F6845" w:rsidRPr="0075481A" w14:paraId="62C99AD1" w14:textId="77777777" w:rsidTr="00803B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04F288BE" w14:textId="7540C6F2" w:rsidR="004F6845" w:rsidRPr="0075481A" w:rsidRDefault="004F6845" w:rsidP="004F6845">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Amortizacija prijevoznih sredstava</w:t>
            </w:r>
          </w:p>
        </w:tc>
        <w:tc>
          <w:tcPr>
            <w:tcW w:w="1696" w:type="dxa"/>
          </w:tcPr>
          <w:p w14:paraId="677497B8" w14:textId="1D4AC01D" w:rsidR="004F6845" w:rsidRPr="0075481A" w:rsidRDefault="004F6845" w:rsidP="005C28C4">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1</w:t>
            </w:r>
            <w:r w:rsidR="005C28C4" w:rsidRPr="0075481A">
              <w:rPr>
                <w:rFonts w:ascii="Times New Roman" w:eastAsia="Calibri" w:hAnsi="Times New Roman" w:cs="Times New Roman"/>
              </w:rPr>
              <w:t>3.548,21</w:t>
            </w:r>
          </w:p>
        </w:tc>
        <w:tc>
          <w:tcPr>
            <w:tcW w:w="1564" w:type="dxa"/>
          </w:tcPr>
          <w:p w14:paraId="7EED5E9B" w14:textId="03A4616F" w:rsidR="004F6845" w:rsidRPr="0075481A" w:rsidRDefault="005C28C4"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9.124,74</w:t>
            </w:r>
          </w:p>
        </w:tc>
        <w:tc>
          <w:tcPr>
            <w:tcW w:w="882" w:type="dxa"/>
          </w:tcPr>
          <w:p w14:paraId="73536EAB" w14:textId="0B9E23A7" w:rsidR="004F6845" w:rsidRPr="0075481A" w:rsidRDefault="005C28C4"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68</w:t>
            </w:r>
          </w:p>
        </w:tc>
      </w:tr>
      <w:tr w:rsidR="004F6845" w:rsidRPr="0075481A" w14:paraId="76F06D61" w14:textId="77777777" w:rsidTr="00803BE9">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6B453823" w14:textId="44CADC0D" w:rsidR="004F6845" w:rsidRPr="0075481A" w:rsidRDefault="004F6845" w:rsidP="004F6845">
            <w:pPr>
              <w:spacing w:line="276" w:lineRule="auto"/>
              <w:contextualSpacing/>
              <w:rPr>
                <w:rFonts w:ascii="Times New Roman" w:eastAsia="Calibri" w:hAnsi="Times New Roman" w:cs="Times New Roman"/>
                <w:b w:val="0"/>
              </w:rPr>
            </w:pPr>
            <w:r w:rsidRPr="0075481A">
              <w:rPr>
                <w:rFonts w:ascii="Times New Roman" w:eastAsia="Calibri" w:hAnsi="Times New Roman" w:cs="Times New Roman"/>
                <w:b w:val="0"/>
              </w:rPr>
              <w:t>Amortizacija ostalih pozicija</w:t>
            </w:r>
          </w:p>
        </w:tc>
        <w:tc>
          <w:tcPr>
            <w:tcW w:w="1696" w:type="dxa"/>
          </w:tcPr>
          <w:p w14:paraId="59878C5A" w14:textId="60349231" w:rsidR="004F6845" w:rsidRPr="0075481A" w:rsidRDefault="005C28C4" w:rsidP="005C28C4">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41.503,76</w:t>
            </w:r>
          </w:p>
        </w:tc>
        <w:tc>
          <w:tcPr>
            <w:tcW w:w="1564" w:type="dxa"/>
          </w:tcPr>
          <w:p w14:paraId="4020396E" w14:textId="51C3A8DE" w:rsidR="004F6845" w:rsidRPr="0075481A" w:rsidRDefault="005C28C4"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39.742,28</w:t>
            </w:r>
          </w:p>
        </w:tc>
        <w:tc>
          <w:tcPr>
            <w:tcW w:w="882" w:type="dxa"/>
          </w:tcPr>
          <w:p w14:paraId="2F47F78B" w14:textId="03DE698C" w:rsidR="004F6845" w:rsidRPr="0075481A" w:rsidRDefault="005C28C4" w:rsidP="004F6845">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75481A">
              <w:rPr>
                <w:rFonts w:ascii="Times New Roman" w:eastAsia="Calibri" w:hAnsi="Times New Roman" w:cs="Times New Roman"/>
              </w:rPr>
              <w:t>96</w:t>
            </w:r>
          </w:p>
        </w:tc>
      </w:tr>
      <w:tr w:rsidR="004F6845" w:rsidRPr="0075481A" w14:paraId="4DFAC4C1" w14:textId="77777777" w:rsidTr="00803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4BB5188" w14:textId="3BB36E5E" w:rsidR="004F6845" w:rsidRPr="0075481A" w:rsidRDefault="004F6845" w:rsidP="004F6845">
            <w:pPr>
              <w:spacing w:line="276" w:lineRule="auto"/>
              <w:contextualSpacing/>
              <w:rPr>
                <w:rFonts w:ascii="Times New Roman" w:eastAsia="Calibri" w:hAnsi="Times New Roman" w:cs="Times New Roman"/>
              </w:rPr>
            </w:pPr>
            <w:r w:rsidRPr="0075481A">
              <w:rPr>
                <w:rFonts w:ascii="Times New Roman" w:eastAsia="Calibri" w:hAnsi="Times New Roman" w:cs="Times New Roman"/>
              </w:rPr>
              <w:t>Ukupno troškovi amortizacije</w:t>
            </w:r>
          </w:p>
        </w:tc>
        <w:tc>
          <w:tcPr>
            <w:tcW w:w="1696" w:type="dxa"/>
          </w:tcPr>
          <w:p w14:paraId="2133700D" w14:textId="30945536" w:rsidR="004F6845" w:rsidRPr="0075481A" w:rsidRDefault="005C28C4"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75481A">
              <w:rPr>
                <w:rFonts w:ascii="Times New Roman" w:eastAsia="Calibri" w:hAnsi="Times New Roman" w:cs="Times New Roman"/>
                <w:b/>
              </w:rPr>
              <w:t>65.629,31</w:t>
            </w:r>
          </w:p>
        </w:tc>
        <w:tc>
          <w:tcPr>
            <w:tcW w:w="1564" w:type="dxa"/>
          </w:tcPr>
          <w:p w14:paraId="4D5E6B8D" w14:textId="00F4FE12" w:rsidR="004F6845" w:rsidRPr="0075481A" w:rsidRDefault="005C28C4"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75481A">
              <w:rPr>
                <w:rFonts w:ascii="Times New Roman" w:eastAsia="Calibri" w:hAnsi="Times New Roman" w:cs="Times New Roman"/>
                <w:b/>
              </w:rPr>
              <w:t>64.433,63</w:t>
            </w:r>
          </w:p>
        </w:tc>
        <w:tc>
          <w:tcPr>
            <w:tcW w:w="882" w:type="dxa"/>
          </w:tcPr>
          <w:p w14:paraId="3A50EF58" w14:textId="13DBEA4B" w:rsidR="004F6845" w:rsidRPr="0075481A" w:rsidRDefault="005C28C4" w:rsidP="004F6845">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75481A">
              <w:rPr>
                <w:rFonts w:ascii="Times New Roman" w:eastAsia="Calibri" w:hAnsi="Times New Roman" w:cs="Times New Roman"/>
                <w:b/>
              </w:rPr>
              <w:t>98</w:t>
            </w:r>
          </w:p>
        </w:tc>
      </w:tr>
    </w:tbl>
    <w:p w14:paraId="285B0C63" w14:textId="77777777" w:rsidR="002E7078" w:rsidRPr="0075481A" w:rsidRDefault="002E7078" w:rsidP="002E7078">
      <w:pPr>
        <w:spacing w:after="0" w:line="240" w:lineRule="auto"/>
        <w:rPr>
          <w:rFonts w:ascii="Times New Roman" w:eastAsia="Times New Roman" w:hAnsi="Times New Roman" w:cs="Times New Roman"/>
        </w:rPr>
      </w:pPr>
    </w:p>
    <w:p w14:paraId="42CA70E6" w14:textId="166AEB60" w:rsidR="004F6845" w:rsidRPr="0075481A" w:rsidRDefault="005C28C4" w:rsidP="004F6845">
      <w:pPr>
        <w:contextualSpacing/>
        <w:jc w:val="both"/>
        <w:rPr>
          <w:rFonts w:ascii="Times New Roman" w:eastAsia="Calibri" w:hAnsi="Times New Roman" w:cs="Times New Roman"/>
        </w:rPr>
      </w:pPr>
      <w:r w:rsidRPr="0075481A">
        <w:rPr>
          <w:rFonts w:ascii="Times New Roman" w:eastAsia="Calibri" w:hAnsi="Times New Roman" w:cs="Times New Roman"/>
          <w:b/>
          <w:bCs/>
        </w:rPr>
        <w:t>Troškovi amortizacije</w:t>
      </w:r>
      <w:r w:rsidRPr="0075481A">
        <w:rPr>
          <w:rFonts w:ascii="Times New Roman" w:eastAsia="Calibri" w:hAnsi="Times New Roman" w:cs="Times New Roman"/>
        </w:rPr>
        <w:t xml:space="preserve"> iznose 64.433,63 EUR i za 2%  manji su  u odnosu na 2022. godinu radi  nabave nove opreme manje vrijednosti, te većim djelom nabave u četvrtom kvartalu poslovne godine</w:t>
      </w:r>
      <w:r w:rsidR="004F6845" w:rsidRPr="0075481A">
        <w:rPr>
          <w:rFonts w:ascii="Times New Roman" w:eastAsia="Calibri" w:hAnsi="Times New Roman" w:cs="Times New Roman"/>
        </w:rPr>
        <w:t>.</w:t>
      </w:r>
    </w:p>
    <w:p w14:paraId="015577A3" w14:textId="77777777" w:rsidR="00A81432" w:rsidRDefault="00A81432" w:rsidP="00866994">
      <w:pPr>
        <w:pStyle w:val="Odlomakpopisa"/>
        <w:ind w:left="0"/>
        <w:jc w:val="both"/>
        <w:rPr>
          <w:rFonts w:ascii="Times New Roman" w:eastAsia="Times New Roman" w:hAnsi="Times New Roman"/>
          <w:b/>
        </w:rPr>
      </w:pPr>
    </w:p>
    <w:p w14:paraId="6987FB29" w14:textId="7688DEA5" w:rsidR="00763305" w:rsidRPr="0075481A" w:rsidRDefault="00131D13" w:rsidP="00866994">
      <w:pPr>
        <w:pStyle w:val="Odlomakpopisa"/>
        <w:ind w:left="0"/>
        <w:jc w:val="both"/>
        <w:rPr>
          <w:rFonts w:ascii="Times New Roman" w:eastAsia="Times New Roman" w:hAnsi="Times New Roman"/>
          <w:b/>
        </w:rPr>
      </w:pPr>
      <w:r w:rsidRPr="0075481A">
        <w:rPr>
          <w:rFonts w:ascii="Times New Roman" w:eastAsia="Times New Roman" w:hAnsi="Times New Roman"/>
          <w:b/>
        </w:rPr>
        <w:t>Bilješka 2</w:t>
      </w:r>
      <w:r w:rsidR="00590D4A">
        <w:rPr>
          <w:rFonts w:ascii="Times New Roman" w:eastAsia="Times New Roman" w:hAnsi="Times New Roman"/>
          <w:b/>
        </w:rPr>
        <w:t>0</w:t>
      </w:r>
      <w:r w:rsidRPr="0075481A">
        <w:rPr>
          <w:rFonts w:ascii="Times New Roman" w:eastAsia="Times New Roman" w:hAnsi="Times New Roman"/>
          <w:b/>
        </w:rPr>
        <w:t>.</w:t>
      </w:r>
      <w:r w:rsidR="00763305" w:rsidRPr="0075481A">
        <w:rPr>
          <w:rFonts w:ascii="Times New Roman" w:eastAsia="Times New Roman" w:hAnsi="Times New Roman"/>
          <w:b/>
        </w:rPr>
        <w:t xml:space="preserve"> Ostali troškovi</w:t>
      </w:r>
    </w:p>
    <w:p w14:paraId="4C57031C" w14:textId="77777777" w:rsidR="00763305" w:rsidRPr="0075481A" w:rsidRDefault="00763305" w:rsidP="00866994">
      <w:pPr>
        <w:pStyle w:val="Odlomakpopisa"/>
        <w:ind w:left="0"/>
        <w:jc w:val="both"/>
        <w:rPr>
          <w:rFonts w:ascii="Times New Roman" w:eastAsia="Times New Roman" w:hAnsi="Times New Roman"/>
          <w:b/>
        </w:rPr>
      </w:pPr>
    </w:p>
    <w:p w14:paraId="2D52DFC4" w14:textId="73E2563F" w:rsidR="001E3AA2" w:rsidRPr="0075481A" w:rsidRDefault="001E3AA2" w:rsidP="001E3AA2">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b/>
          <w:bCs/>
        </w:rPr>
        <w:t>Ostali troškovi poslovanja</w:t>
      </w:r>
      <w:r w:rsidRPr="0075481A">
        <w:rPr>
          <w:rFonts w:ascii="Times New Roman" w:eastAsia="Calibri" w:hAnsi="Times New Roman" w:cs="Times New Roman"/>
        </w:rPr>
        <w:t xml:space="preserve"> iznose 112.620,98 EUR, a obuhvaćaju troškove reprezentacije, troškove dnevnica i putnih troškova na službenim putovanjima, troškove poreza koji ne ovise o rezultatu, doprinosa, naknada i članarina, stručnu literaturu i obrazovanje, trošak naknada troškova radnika, trošak darova, nagrada i potpora radnicima, te ostale nespecificirane troškove poslovanja. U odnosu na 2022. godinu bilježe povećanje od 9%.</w:t>
      </w:r>
    </w:p>
    <w:p w14:paraId="74D2ABBC" w14:textId="77777777" w:rsidR="004F6845" w:rsidRPr="0075481A" w:rsidRDefault="004F6845" w:rsidP="00866994">
      <w:pPr>
        <w:pStyle w:val="Odlomakpopisa"/>
        <w:ind w:left="0"/>
        <w:jc w:val="both"/>
        <w:rPr>
          <w:rFonts w:ascii="Times New Roman" w:eastAsia="Times New Roman" w:hAnsi="Times New Roman"/>
          <w:b/>
        </w:rPr>
      </w:pPr>
    </w:p>
    <w:p w14:paraId="620DA194" w14:textId="4CEDE929" w:rsidR="00763305"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2</w:t>
      </w:r>
      <w:r w:rsidR="00590D4A">
        <w:rPr>
          <w:rFonts w:ascii="Times New Roman" w:eastAsia="Times New Roman" w:hAnsi="Times New Roman" w:cs="Times New Roman"/>
          <w:b/>
        </w:rPr>
        <w:t>1</w:t>
      </w:r>
      <w:r w:rsidRPr="0075481A">
        <w:rPr>
          <w:rFonts w:ascii="Times New Roman" w:eastAsia="Times New Roman" w:hAnsi="Times New Roman" w:cs="Times New Roman"/>
          <w:b/>
        </w:rPr>
        <w:t>.</w:t>
      </w:r>
      <w:r w:rsidR="00763305" w:rsidRPr="0075481A">
        <w:rPr>
          <w:rFonts w:ascii="Times New Roman" w:eastAsia="Times New Roman" w:hAnsi="Times New Roman" w:cs="Times New Roman"/>
          <w:b/>
        </w:rPr>
        <w:t xml:space="preserve"> Vrijednosna usklađenja</w:t>
      </w:r>
    </w:p>
    <w:p w14:paraId="62ADC979" w14:textId="4960C23A" w:rsidR="00763305" w:rsidRPr="0075481A" w:rsidRDefault="00763305" w:rsidP="00131D13">
      <w:pPr>
        <w:spacing w:after="0" w:line="240" w:lineRule="auto"/>
        <w:rPr>
          <w:rFonts w:ascii="Times New Roman" w:eastAsia="Times New Roman" w:hAnsi="Times New Roman" w:cs="Times New Roman"/>
          <w:b/>
        </w:rPr>
      </w:pPr>
    </w:p>
    <w:p w14:paraId="20081732" w14:textId="6C86CAEC" w:rsidR="009845E6" w:rsidRPr="0075481A" w:rsidRDefault="009845E6" w:rsidP="00131D13">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U 202</w:t>
      </w:r>
      <w:r w:rsidR="001E3AA2" w:rsidRPr="0075481A">
        <w:rPr>
          <w:rFonts w:ascii="Times New Roman" w:eastAsia="Times New Roman" w:hAnsi="Times New Roman" w:cs="Times New Roman"/>
        </w:rPr>
        <w:t>3</w:t>
      </w:r>
      <w:r w:rsidRPr="0075481A">
        <w:rPr>
          <w:rFonts w:ascii="Times New Roman" w:eastAsia="Times New Roman" w:hAnsi="Times New Roman" w:cs="Times New Roman"/>
        </w:rPr>
        <w:t xml:space="preserve">. godini </w:t>
      </w:r>
      <w:r w:rsidR="00C92746" w:rsidRPr="0075481A">
        <w:rPr>
          <w:rFonts w:ascii="Times New Roman" w:eastAsia="Times New Roman" w:hAnsi="Times New Roman" w:cs="Times New Roman"/>
        </w:rPr>
        <w:t xml:space="preserve">na poziciji vrijednosni usklađenja </w:t>
      </w:r>
      <w:r w:rsidR="00F342AB" w:rsidRPr="0075481A">
        <w:rPr>
          <w:rFonts w:ascii="Times New Roman" w:eastAsia="Times New Roman" w:hAnsi="Times New Roman" w:cs="Times New Roman"/>
        </w:rPr>
        <w:t xml:space="preserve">iskazano je </w:t>
      </w:r>
      <w:r w:rsidR="001E3AA2" w:rsidRPr="0075481A">
        <w:rPr>
          <w:rFonts w:ascii="Times New Roman" w:eastAsia="Times New Roman" w:hAnsi="Times New Roman" w:cs="Times New Roman"/>
        </w:rPr>
        <w:t>46.569,95 EUR</w:t>
      </w:r>
      <w:r w:rsidR="00F342AB" w:rsidRPr="0075481A">
        <w:rPr>
          <w:rFonts w:ascii="Times New Roman" w:eastAsia="Times New Roman" w:hAnsi="Times New Roman" w:cs="Times New Roman"/>
        </w:rPr>
        <w:t xml:space="preserve"> i to vrijednosno usklađenje potraživanja od kupaca</w:t>
      </w:r>
      <w:r w:rsidR="00C92746" w:rsidRPr="0075481A">
        <w:rPr>
          <w:rFonts w:ascii="Times New Roman" w:eastAsia="Times New Roman" w:hAnsi="Times New Roman" w:cs="Times New Roman"/>
        </w:rPr>
        <w:t>.</w:t>
      </w:r>
      <w:r w:rsidRPr="0075481A">
        <w:rPr>
          <w:rFonts w:ascii="Times New Roman" w:eastAsia="Times New Roman" w:hAnsi="Times New Roman" w:cs="Times New Roman"/>
        </w:rPr>
        <w:t xml:space="preserve"> </w:t>
      </w:r>
    </w:p>
    <w:p w14:paraId="50C443EA" w14:textId="2A5E1D5C" w:rsidR="00131D13" w:rsidRPr="0075481A" w:rsidRDefault="00131D13" w:rsidP="00131D13">
      <w:pPr>
        <w:spacing w:after="0" w:line="276" w:lineRule="auto"/>
        <w:contextualSpacing/>
        <w:jc w:val="both"/>
        <w:rPr>
          <w:rFonts w:ascii="Times New Roman" w:eastAsia="Calibri" w:hAnsi="Times New Roman" w:cs="Times New Roman"/>
          <w:b/>
          <w:bCs/>
          <w:color w:val="17365D"/>
        </w:rPr>
      </w:pPr>
    </w:p>
    <w:p w14:paraId="146E59E7" w14:textId="23D3C925"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Bilješke 2</w:t>
      </w:r>
      <w:r w:rsidR="00590D4A">
        <w:rPr>
          <w:rFonts w:ascii="Times New Roman" w:eastAsia="Times New Roman" w:hAnsi="Times New Roman" w:cs="Times New Roman"/>
          <w:b/>
        </w:rPr>
        <w:t>2</w:t>
      </w:r>
      <w:r w:rsidRPr="0075481A">
        <w:rPr>
          <w:rFonts w:ascii="Times New Roman" w:eastAsia="Times New Roman" w:hAnsi="Times New Roman" w:cs="Times New Roman"/>
          <w:b/>
        </w:rPr>
        <w:t>. Rezerviranja</w:t>
      </w:r>
    </w:p>
    <w:p w14:paraId="687BA9FD" w14:textId="77777777" w:rsidR="00131D13" w:rsidRPr="0075481A" w:rsidRDefault="00131D13" w:rsidP="00131D13">
      <w:pPr>
        <w:spacing w:after="0" w:line="240" w:lineRule="auto"/>
        <w:rPr>
          <w:rFonts w:ascii="Times New Roman" w:eastAsia="Times New Roman" w:hAnsi="Times New Roman" w:cs="Times New Roman"/>
          <w:b/>
        </w:rPr>
      </w:pPr>
    </w:p>
    <w:p w14:paraId="77B7E6DA" w14:textId="23B76593" w:rsidR="00F342AB" w:rsidRPr="0075481A" w:rsidRDefault="00F23061" w:rsidP="001E3AA2">
      <w:pPr>
        <w:contextualSpacing/>
        <w:jc w:val="both"/>
        <w:rPr>
          <w:rFonts w:ascii="Times New Roman" w:eastAsia="Times New Roman" w:hAnsi="Times New Roman" w:cs="Times New Roman"/>
          <w:noProof/>
          <w:color w:val="FF0000"/>
        </w:rPr>
      </w:pPr>
      <w:r w:rsidRPr="0075481A">
        <w:rPr>
          <w:rFonts w:ascii="Times New Roman" w:eastAsia="Times New Roman" w:hAnsi="Times New Roman" w:cs="Times New Roman"/>
        </w:rPr>
        <w:t>U 202</w:t>
      </w:r>
      <w:r w:rsidR="001E3AA2" w:rsidRPr="0075481A">
        <w:rPr>
          <w:rFonts w:ascii="Times New Roman" w:eastAsia="Times New Roman" w:hAnsi="Times New Roman" w:cs="Times New Roman"/>
        </w:rPr>
        <w:t>3</w:t>
      </w:r>
      <w:r w:rsidRPr="0075481A">
        <w:rPr>
          <w:rFonts w:ascii="Times New Roman" w:eastAsia="Times New Roman" w:hAnsi="Times New Roman" w:cs="Times New Roman"/>
        </w:rPr>
        <w:t>.</w:t>
      </w:r>
      <w:r w:rsidR="00F342AB" w:rsidRPr="0075481A">
        <w:rPr>
          <w:rFonts w:ascii="Times New Roman" w:eastAsia="Times New Roman" w:hAnsi="Times New Roman" w:cs="Times New Roman"/>
        </w:rPr>
        <w:t xml:space="preserve"> godini na poziciji rezerviranja iskazano je </w:t>
      </w:r>
      <w:r w:rsidR="001E3AA2" w:rsidRPr="0075481A">
        <w:rPr>
          <w:rFonts w:ascii="Times New Roman" w:eastAsia="Times New Roman" w:hAnsi="Times New Roman" w:cs="Times New Roman"/>
        </w:rPr>
        <w:t>20.654,92 EUR</w:t>
      </w:r>
      <w:r w:rsidR="00F342AB" w:rsidRPr="0075481A">
        <w:rPr>
          <w:rFonts w:ascii="Times New Roman" w:eastAsia="Times New Roman" w:hAnsi="Times New Roman" w:cs="Times New Roman"/>
        </w:rPr>
        <w:t xml:space="preserve"> i to za </w:t>
      </w:r>
      <w:r w:rsidR="00F342AB" w:rsidRPr="0075481A">
        <w:rPr>
          <w:rFonts w:ascii="Times New Roman" w:eastAsia="Calibri" w:hAnsi="Times New Roman" w:cs="Times New Roman"/>
        </w:rPr>
        <w:t>trošak rezerviranja za mirovinu</w:t>
      </w:r>
      <w:r w:rsidR="001E3AA2" w:rsidRPr="0075481A">
        <w:rPr>
          <w:rFonts w:ascii="Times New Roman" w:eastAsia="Calibri" w:hAnsi="Times New Roman" w:cs="Times New Roman"/>
        </w:rPr>
        <w:t>.</w:t>
      </w:r>
    </w:p>
    <w:p w14:paraId="346E3FF6" w14:textId="1509500D" w:rsidR="00422B5C" w:rsidRPr="0075481A" w:rsidRDefault="00422B5C" w:rsidP="005364B4">
      <w:pPr>
        <w:spacing w:after="0" w:line="240" w:lineRule="auto"/>
        <w:jc w:val="right"/>
        <w:rPr>
          <w:rFonts w:ascii="Times New Roman" w:eastAsia="Times New Roman" w:hAnsi="Times New Roman" w:cs="Times New Roman"/>
        </w:rPr>
      </w:pPr>
    </w:p>
    <w:p w14:paraId="252301DB" w14:textId="377B84E8"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2</w:t>
      </w:r>
      <w:r w:rsidR="00590D4A">
        <w:rPr>
          <w:rFonts w:ascii="Times New Roman" w:eastAsia="Times New Roman" w:hAnsi="Times New Roman" w:cs="Times New Roman"/>
          <w:b/>
        </w:rPr>
        <w:t>3</w:t>
      </w:r>
      <w:r w:rsidRPr="0075481A">
        <w:rPr>
          <w:rFonts w:ascii="Times New Roman" w:eastAsia="Times New Roman" w:hAnsi="Times New Roman" w:cs="Times New Roman"/>
          <w:b/>
        </w:rPr>
        <w:t>. Ostali poslovni rashodi</w:t>
      </w:r>
    </w:p>
    <w:p w14:paraId="4B0AF97D" w14:textId="77777777" w:rsidR="00131D13" w:rsidRPr="0075481A" w:rsidRDefault="00131D13" w:rsidP="00131D13">
      <w:pPr>
        <w:spacing w:after="0" w:line="240" w:lineRule="auto"/>
        <w:rPr>
          <w:rFonts w:ascii="Times New Roman" w:eastAsia="Times New Roman" w:hAnsi="Times New Roman" w:cs="Times New Roman"/>
        </w:rPr>
      </w:pPr>
    </w:p>
    <w:p w14:paraId="7F11FC75" w14:textId="7AD0B17D" w:rsidR="00131D13" w:rsidRPr="0075481A" w:rsidRDefault="00131D13" w:rsidP="00131D13">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Strukturu ostalih poslovnih rashoda u 20</w:t>
      </w:r>
      <w:r w:rsidR="00F23061" w:rsidRPr="0075481A">
        <w:rPr>
          <w:rFonts w:ascii="Times New Roman" w:eastAsia="Times New Roman" w:hAnsi="Times New Roman" w:cs="Times New Roman"/>
        </w:rPr>
        <w:t>2</w:t>
      </w:r>
      <w:r w:rsidR="001E3AA2" w:rsidRPr="0075481A">
        <w:rPr>
          <w:rFonts w:ascii="Times New Roman" w:eastAsia="Times New Roman" w:hAnsi="Times New Roman" w:cs="Times New Roman"/>
        </w:rPr>
        <w:t>3</w:t>
      </w:r>
      <w:r w:rsidRPr="0075481A">
        <w:rPr>
          <w:rFonts w:ascii="Times New Roman" w:eastAsia="Times New Roman" w:hAnsi="Times New Roman" w:cs="Times New Roman"/>
        </w:rPr>
        <w:t xml:space="preserve">. godini </w:t>
      </w:r>
      <w:r w:rsidR="007A7CCE" w:rsidRPr="0075481A">
        <w:rPr>
          <w:rFonts w:ascii="Times New Roman" w:eastAsia="Times New Roman" w:hAnsi="Times New Roman" w:cs="Times New Roman"/>
        </w:rPr>
        <w:t xml:space="preserve">u iznosu od  </w:t>
      </w:r>
      <w:r w:rsidR="001E3AA2" w:rsidRPr="0075481A">
        <w:rPr>
          <w:rFonts w:ascii="Times New Roman" w:eastAsia="Times New Roman" w:hAnsi="Times New Roman" w:cs="Times New Roman"/>
        </w:rPr>
        <w:t>9.331,44 EUR</w:t>
      </w:r>
      <w:r w:rsidR="007A7CCE" w:rsidRPr="0075481A">
        <w:rPr>
          <w:rFonts w:ascii="Times New Roman" w:eastAsia="Times New Roman" w:hAnsi="Times New Roman" w:cs="Times New Roman"/>
        </w:rPr>
        <w:t xml:space="preserve"> čine  darovanja, manjkovi, kazne</w:t>
      </w:r>
      <w:r w:rsidRPr="0075481A">
        <w:rPr>
          <w:rFonts w:ascii="Times New Roman" w:eastAsia="Times New Roman" w:hAnsi="Times New Roman" w:cs="Times New Roman"/>
        </w:rPr>
        <w:t xml:space="preserve">. </w:t>
      </w:r>
    </w:p>
    <w:p w14:paraId="700F22B7" w14:textId="77777777" w:rsidR="00131D13" w:rsidRPr="0075481A" w:rsidRDefault="00131D13" w:rsidP="00131D13">
      <w:pPr>
        <w:spacing w:after="0" w:line="240" w:lineRule="auto"/>
        <w:rPr>
          <w:rFonts w:ascii="Times New Roman" w:eastAsia="Times New Roman" w:hAnsi="Times New Roman" w:cs="Times New Roman"/>
          <w:b/>
        </w:rPr>
      </w:pPr>
    </w:p>
    <w:p w14:paraId="0FB3BD65" w14:textId="491E027C"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2</w:t>
      </w:r>
      <w:r w:rsidR="00590D4A">
        <w:rPr>
          <w:rFonts w:ascii="Times New Roman" w:eastAsia="Times New Roman" w:hAnsi="Times New Roman" w:cs="Times New Roman"/>
          <w:b/>
        </w:rPr>
        <w:t>4</w:t>
      </w:r>
      <w:r w:rsidRPr="0075481A">
        <w:rPr>
          <w:rFonts w:ascii="Times New Roman" w:eastAsia="Times New Roman" w:hAnsi="Times New Roman" w:cs="Times New Roman"/>
          <w:b/>
        </w:rPr>
        <w:t>. Financijski prihodi</w:t>
      </w:r>
    </w:p>
    <w:p w14:paraId="3E3A0DF2" w14:textId="77777777" w:rsidR="003E28E9" w:rsidRPr="0075481A" w:rsidRDefault="003E28E9" w:rsidP="001B4644">
      <w:pPr>
        <w:spacing w:after="0" w:line="276" w:lineRule="auto"/>
        <w:jc w:val="both"/>
        <w:rPr>
          <w:rFonts w:ascii="Times New Roman" w:eastAsia="Calibri" w:hAnsi="Times New Roman" w:cs="Times New Roman"/>
          <w:b/>
          <w:bCs/>
        </w:rPr>
      </w:pPr>
    </w:p>
    <w:p w14:paraId="072F24F5" w14:textId="31EDBD17" w:rsidR="001E3AA2" w:rsidRPr="0075481A" w:rsidRDefault="001B4644" w:rsidP="00EE50BF">
      <w:pPr>
        <w:jc w:val="both"/>
        <w:rPr>
          <w:rFonts w:ascii="Times New Roman" w:eastAsia="Calibri" w:hAnsi="Times New Roman" w:cs="Times New Roman"/>
          <w:bCs/>
          <w:i/>
        </w:rPr>
      </w:pPr>
      <w:r w:rsidRPr="0075481A">
        <w:rPr>
          <w:rFonts w:ascii="Times New Roman" w:eastAsia="Calibri" w:hAnsi="Times New Roman" w:cs="Times New Roman"/>
          <w:b/>
          <w:bCs/>
        </w:rPr>
        <w:t xml:space="preserve">Financijski prihodi </w:t>
      </w:r>
      <w:r w:rsidR="001E3AA2" w:rsidRPr="0075481A">
        <w:rPr>
          <w:rFonts w:ascii="Times New Roman" w:eastAsia="Calibri" w:hAnsi="Times New Roman" w:cs="Times New Roman"/>
          <w:bCs/>
        </w:rPr>
        <w:t xml:space="preserve">ostvareni su u iznosu od </w:t>
      </w:r>
      <w:r w:rsidR="00EE50BF" w:rsidRPr="0075481A">
        <w:rPr>
          <w:rFonts w:ascii="Times New Roman" w:eastAsia="Calibri" w:hAnsi="Times New Roman" w:cs="Times New Roman"/>
          <w:bCs/>
        </w:rPr>
        <w:t>13.571,84</w:t>
      </w:r>
      <w:r w:rsidR="001E3AA2" w:rsidRPr="0075481A">
        <w:rPr>
          <w:rFonts w:ascii="Times New Roman" w:eastAsia="Calibri" w:hAnsi="Times New Roman" w:cs="Times New Roman"/>
          <w:bCs/>
        </w:rPr>
        <w:t xml:space="preserve"> EUR, a odnose se na prihode od redovnih kamata (3.1</w:t>
      </w:r>
      <w:r w:rsidR="00EE50BF" w:rsidRPr="0075481A">
        <w:rPr>
          <w:rFonts w:ascii="Times New Roman" w:eastAsia="Calibri" w:hAnsi="Times New Roman" w:cs="Times New Roman"/>
          <w:bCs/>
        </w:rPr>
        <w:t>80,73</w:t>
      </w:r>
      <w:r w:rsidR="001E3AA2" w:rsidRPr="0075481A">
        <w:rPr>
          <w:rFonts w:ascii="Times New Roman" w:eastAsia="Calibri" w:hAnsi="Times New Roman" w:cs="Times New Roman"/>
          <w:bCs/>
        </w:rPr>
        <w:t xml:space="preserve"> EUR), prihode od zateznih kamata (2.702</w:t>
      </w:r>
      <w:r w:rsidR="00EE50BF" w:rsidRPr="0075481A">
        <w:rPr>
          <w:rFonts w:ascii="Times New Roman" w:eastAsia="Calibri" w:hAnsi="Times New Roman" w:cs="Times New Roman"/>
          <w:bCs/>
        </w:rPr>
        <w:t>,03</w:t>
      </w:r>
      <w:r w:rsidR="001E3AA2" w:rsidRPr="0075481A">
        <w:rPr>
          <w:rFonts w:ascii="Times New Roman" w:eastAsia="Calibri" w:hAnsi="Times New Roman" w:cs="Times New Roman"/>
          <w:bCs/>
        </w:rPr>
        <w:t xml:space="preserve"> EUR)</w:t>
      </w:r>
      <w:r w:rsidR="00EE50BF" w:rsidRPr="0075481A">
        <w:rPr>
          <w:rFonts w:ascii="Times New Roman" w:eastAsia="Calibri" w:hAnsi="Times New Roman" w:cs="Times New Roman"/>
          <w:bCs/>
        </w:rPr>
        <w:t xml:space="preserve">, </w:t>
      </w:r>
      <w:r w:rsidR="001E3AA2" w:rsidRPr="0075481A">
        <w:rPr>
          <w:rFonts w:ascii="Times New Roman" w:eastAsia="Calibri" w:hAnsi="Times New Roman" w:cs="Times New Roman"/>
          <w:bCs/>
        </w:rPr>
        <w:t>te ostal</w:t>
      </w:r>
      <w:r w:rsidR="00EE50BF" w:rsidRPr="0075481A">
        <w:rPr>
          <w:rFonts w:ascii="Times New Roman" w:eastAsia="Calibri" w:hAnsi="Times New Roman" w:cs="Times New Roman"/>
          <w:bCs/>
        </w:rPr>
        <w:t>i</w:t>
      </w:r>
      <w:r w:rsidR="001E3AA2" w:rsidRPr="0075481A">
        <w:rPr>
          <w:rFonts w:ascii="Times New Roman" w:eastAsia="Calibri" w:hAnsi="Times New Roman" w:cs="Times New Roman"/>
          <w:bCs/>
        </w:rPr>
        <w:t xml:space="preserve"> </w:t>
      </w:r>
      <w:r w:rsidR="00EE50BF" w:rsidRPr="0075481A">
        <w:rPr>
          <w:rFonts w:ascii="Times New Roman" w:eastAsia="Calibri" w:hAnsi="Times New Roman" w:cs="Times New Roman"/>
          <w:bCs/>
        </w:rPr>
        <w:t>financijski</w:t>
      </w:r>
      <w:r w:rsidR="001E3AA2" w:rsidRPr="0075481A">
        <w:rPr>
          <w:rFonts w:ascii="Times New Roman" w:eastAsia="Calibri" w:hAnsi="Times New Roman" w:cs="Times New Roman"/>
          <w:bCs/>
        </w:rPr>
        <w:t xml:space="preserve"> prihod</w:t>
      </w:r>
      <w:r w:rsidR="00EE50BF" w:rsidRPr="0075481A">
        <w:rPr>
          <w:rFonts w:ascii="Times New Roman" w:eastAsia="Calibri" w:hAnsi="Times New Roman" w:cs="Times New Roman"/>
          <w:bCs/>
        </w:rPr>
        <w:t>i</w:t>
      </w:r>
      <w:r w:rsidR="001E3AA2" w:rsidRPr="0075481A">
        <w:rPr>
          <w:rFonts w:ascii="Times New Roman" w:eastAsia="Calibri" w:hAnsi="Times New Roman" w:cs="Times New Roman"/>
          <w:bCs/>
        </w:rPr>
        <w:t xml:space="preserve"> (7.689</w:t>
      </w:r>
      <w:r w:rsidR="00EE50BF" w:rsidRPr="0075481A">
        <w:rPr>
          <w:rFonts w:ascii="Times New Roman" w:eastAsia="Calibri" w:hAnsi="Times New Roman" w:cs="Times New Roman"/>
          <w:bCs/>
        </w:rPr>
        <w:t>,08</w:t>
      </w:r>
      <w:r w:rsidR="001E3AA2" w:rsidRPr="0075481A">
        <w:rPr>
          <w:rFonts w:ascii="Times New Roman" w:eastAsia="Calibri" w:hAnsi="Times New Roman" w:cs="Times New Roman"/>
          <w:bCs/>
        </w:rPr>
        <w:t xml:space="preserve"> EUR) koji se odnose se na naplatu troškova ovrhe, te naplata šteta od osiguranja. </w:t>
      </w:r>
    </w:p>
    <w:p w14:paraId="0491404B" w14:textId="77777777" w:rsidR="00A81432" w:rsidRDefault="00A81432" w:rsidP="00131D13">
      <w:pPr>
        <w:spacing w:after="0" w:line="240" w:lineRule="auto"/>
        <w:rPr>
          <w:rFonts w:ascii="Times New Roman" w:eastAsia="Times New Roman" w:hAnsi="Times New Roman" w:cs="Times New Roman"/>
          <w:b/>
        </w:rPr>
      </w:pPr>
    </w:p>
    <w:p w14:paraId="535C379D" w14:textId="77777777" w:rsidR="00A81432" w:rsidRDefault="00A81432" w:rsidP="00131D13">
      <w:pPr>
        <w:spacing w:after="0" w:line="240" w:lineRule="auto"/>
        <w:rPr>
          <w:rFonts w:ascii="Times New Roman" w:eastAsia="Times New Roman" w:hAnsi="Times New Roman" w:cs="Times New Roman"/>
          <w:b/>
        </w:rPr>
      </w:pPr>
    </w:p>
    <w:p w14:paraId="13CE6EFC" w14:textId="77777777" w:rsidR="00A81432" w:rsidRDefault="00A81432" w:rsidP="00131D13">
      <w:pPr>
        <w:spacing w:after="0" w:line="240" w:lineRule="auto"/>
        <w:rPr>
          <w:rFonts w:ascii="Times New Roman" w:eastAsia="Times New Roman" w:hAnsi="Times New Roman" w:cs="Times New Roman"/>
          <w:b/>
        </w:rPr>
      </w:pPr>
    </w:p>
    <w:p w14:paraId="71847111" w14:textId="77777777" w:rsidR="00A81432" w:rsidRDefault="00A81432" w:rsidP="00131D13">
      <w:pPr>
        <w:spacing w:after="0" w:line="240" w:lineRule="auto"/>
        <w:rPr>
          <w:rFonts w:ascii="Times New Roman" w:eastAsia="Times New Roman" w:hAnsi="Times New Roman" w:cs="Times New Roman"/>
          <w:b/>
        </w:rPr>
      </w:pPr>
    </w:p>
    <w:p w14:paraId="00F289DF" w14:textId="58FAF7AB" w:rsidR="00A81432" w:rsidRPr="00A81432" w:rsidRDefault="00A81432" w:rsidP="00A81432">
      <w:pPr>
        <w:spacing w:after="0" w:line="240" w:lineRule="auto"/>
        <w:jc w:val="right"/>
        <w:rPr>
          <w:rFonts w:ascii="Times New Roman" w:eastAsia="Times New Roman" w:hAnsi="Times New Roman" w:cs="Times New Roman"/>
        </w:rPr>
      </w:pPr>
      <w:r w:rsidRPr="00A81432">
        <w:rPr>
          <w:rFonts w:ascii="Times New Roman" w:eastAsia="Times New Roman" w:hAnsi="Times New Roman" w:cs="Times New Roman"/>
        </w:rPr>
        <w:t>13</w:t>
      </w:r>
    </w:p>
    <w:p w14:paraId="739FEAAE" w14:textId="77777777" w:rsidR="00A81432" w:rsidRDefault="00A81432" w:rsidP="00131D13">
      <w:pPr>
        <w:spacing w:after="0" w:line="240" w:lineRule="auto"/>
        <w:rPr>
          <w:rFonts w:ascii="Times New Roman" w:eastAsia="Times New Roman" w:hAnsi="Times New Roman" w:cs="Times New Roman"/>
          <w:b/>
        </w:rPr>
      </w:pPr>
    </w:p>
    <w:p w14:paraId="29D3AAC2" w14:textId="2F8F8BC6" w:rsidR="00131D13" w:rsidRPr="0075481A" w:rsidRDefault="00131D13" w:rsidP="00131D13">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Bilješka 2</w:t>
      </w:r>
      <w:r w:rsidR="00590D4A">
        <w:rPr>
          <w:rFonts w:ascii="Times New Roman" w:eastAsia="Times New Roman" w:hAnsi="Times New Roman" w:cs="Times New Roman"/>
          <w:b/>
        </w:rPr>
        <w:t>5</w:t>
      </w:r>
      <w:r w:rsidR="00763305" w:rsidRPr="0075481A">
        <w:rPr>
          <w:rFonts w:ascii="Times New Roman" w:eastAsia="Times New Roman" w:hAnsi="Times New Roman" w:cs="Times New Roman"/>
          <w:b/>
        </w:rPr>
        <w:t>.</w:t>
      </w:r>
      <w:r w:rsidRPr="0075481A">
        <w:rPr>
          <w:rFonts w:ascii="Times New Roman" w:eastAsia="Times New Roman" w:hAnsi="Times New Roman" w:cs="Times New Roman"/>
          <w:b/>
        </w:rPr>
        <w:t xml:space="preserve"> Financijski rashodi</w:t>
      </w:r>
    </w:p>
    <w:p w14:paraId="384AABC5" w14:textId="77777777" w:rsidR="00131D13" w:rsidRPr="0075481A" w:rsidRDefault="00131D13" w:rsidP="00131D13">
      <w:pPr>
        <w:spacing w:after="0" w:line="240" w:lineRule="auto"/>
        <w:rPr>
          <w:rFonts w:ascii="Times New Roman" w:eastAsia="Times New Roman" w:hAnsi="Times New Roman" w:cs="Times New Roman"/>
          <w:bCs/>
        </w:rPr>
      </w:pPr>
    </w:p>
    <w:p w14:paraId="5189C627" w14:textId="77777777" w:rsidR="00EE50BF" w:rsidRPr="0075481A" w:rsidRDefault="00EE50BF" w:rsidP="00EE50BF">
      <w:pPr>
        <w:spacing w:after="0" w:line="276" w:lineRule="auto"/>
        <w:contextualSpacing/>
        <w:jc w:val="both"/>
        <w:rPr>
          <w:rFonts w:ascii="Times New Roman" w:eastAsia="Times New Roman" w:hAnsi="Times New Roman" w:cs="Times New Roman"/>
          <w:b/>
          <w:noProof/>
        </w:rPr>
      </w:pPr>
      <w:r w:rsidRPr="0075481A">
        <w:rPr>
          <w:rFonts w:ascii="Times New Roman" w:eastAsia="Times New Roman" w:hAnsi="Times New Roman" w:cs="Times New Roman"/>
          <w:b/>
          <w:noProof/>
        </w:rPr>
        <w:t>Financijski rashodi</w:t>
      </w:r>
    </w:p>
    <w:p w14:paraId="2D8395BE" w14:textId="157F9F5E" w:rsidR="00EE50BF" w:rsidRPr="0075481A" w:rsidRDefault="00EE50BF" w:rsidP="00EE50BF">
      <w:pPr>
        <w:spacing w:after="0" w:line="276" w:lineRule="auto"/>
        <w:contextualSpacing/>
        <w:jc w:val="both"/>
        <w:rPr>
          <w:rFonts w:ascii="Times New Roman" w:eastAsia="Calibri" w:hAnsi="Times New Roman" w:cs="Times New Roman"/>
        </w:rPr>
      </w:pPr>
      <w:r w:rsidRPr="0075481A">
        <w:rPr>
          <w:rFonts w:ascii="Times New Roman" w:eastAsia="Calibri" w:hAnsi="Times New Roman" w:cs="Times New Roman"/>
        </w:rPr>
        <w:t>Financijski rashodi</w:t>
      </w:r>
      <w:r w:rsidRPr="0075481A">
        <w:rPr>
          <w:rFonts w:ascii="Times New Roman" w:eastAsia="Calibri" w:hAnsi="Times New Roman" w:cs="Times New Roman"/>
          <w:b/>
        </w:rPr>
        <w:t xml:space="preserve"> </w:t>
      </w:r>
      <w:r w:rsidRPr="0075481A">
        <w:rPr>
          <w:rFonts w:ascii="Times New Roman" w:eastAsia="Calibri" w:hAnsi="Times New Roman" w:cs="Times New Roman"/>
        </w:rPr>
        <w:t xml:space="preserve">iznose 11.346,11 EUR od kojih se 11.343,10 EUR odnosi se na troškove redovnih kamata po kreditu podignutog 2018. godine u poslovnoj banci (ZABA d.d.) u svrhu proširenja Gradskog groblja u Puli i tečajne razlike i drugi rashodi 3,01 EUR. </w:t>
      </w:r>
    </w:p>
    <w:p w14:paraId="01457603" w14:textId="77777777" w:rsidR="00590D4A" w:rsidRDefault="00590D4A" w:rsidP="00131D13">
      <w:pPr>
        <w:keepNext/>
        <w:spacing w:after="0" w:line="240" w:lineRule="auto"/>
        <w:ind w:left="360" w:hanging="360"/>
        <w:outlineLvl w:val="1"/>
        <w:rPr>
          <w:rFonts w:ascii="Times New Roman" w:eastAsia="Times New Roman" w:hAnsi="Times New Roman" w:cs="Times New Roman"/>
          <w:b/>
        </w:rPr>
      </w:pPr>
    </w:p>
    <w:p w14:paraId="1C1358E8" w14:textId="4E26DCD3" w:rsidR="00131D13" w:rsidRPr="0075481A" w:rsidRDefault="00131D13" w:rsidP="00131D13">
      <w:pPr>
        <w:keepNext/>
        <w:spacing w:after="0" w:line="240" w:lineRule="auto"/>
        <w:ind w:left="360" w:hanging="360"/>
        <w:outlineLvl w:val="1"/>
        <w:rPr>
          <w:rFonts w:ascii="Times New Roman" w:eastAsia="Times New Roman" w:hAnsi="Times New Roman" w:cs="Times New Roman"/>
          <w:b/>
        </w:rPr>
      </w:pPr>
      <w:r w:rsidRPr="0075481A">
        <w:rPr>
          <w:rFonts w:ascii="Times New Roman" w:eastAsia="Times New Roman" w:hAnsi="Times New Roman" w:cs="Times New Roman"/>
          <w:b/>
        </w:rPr>
        <w:t>Bilješka 2</w:t>
      </w:r>
      <w:r w:rsidR="00590D4A">
        <w:rPr>
          <w:rFonts w:ascii="Times New Roman" w:eastAsia="Times New Roman" w:hAnsi="Times New Roman" w:cs="Times New Roman"/>
          <w:b/>
        </w:rPr>
        <w:t>6</w:t>
      </w:r>
      <w:r w:rsidRPr="0075481A">
        <w:rPr>
          <w:rFonts w:ascii="Times New Roman" w:eastAsia="Times New Roman" w:hAnsi="Times New Roman" w:cs="Times New Roman"/>
          <w:b/>
        </w:rPr>
        <w:t xml:space="preserve">. Porez na dobit </w:t>
      </w:r>
    </w:p>
    <w:p w14:paraId="761F230B" w14:textId="77777777" w:rsidR="00763305" w:rsidRPr="0075481A" w:rsidRDefault="00763305" w:rsidP="00131D13">
      <w:pPr>
        <w:keepNext/>
        <w:spacing w:after="0" w:line="240" w:lineRule="auto"/>
        <w:ind w:left="360" w:hanging="360"/>
        <w:outlineLvl w:val="1"/>
        <w:rPr>
          <w:rFonts w:ascii="Times New Roman" w:eastAsia="Times New Roman" w:hAnsi="Times New Roman" w:cs="Times New Roman"/>
          <w:b/>
        </w:rPr>
      </w:pPr>
    </w:p>
    <w:tbl>
      <w:tblPr>
        <w:tblStyle w:val="Tablicareetke2-isticanje3"/>
        <w:tblW w:w="4991" w:type="pct"/>
        <w:tblLook w:val="0000" w:firstRow="0" w:lastRow="0" w:firstColumn="0" w:lastColumn="0" w:noHBand="0" w:noVBand="0"/>
      </w:tblPr>
      <w:tblGrid>
        <w:gridCol w:w="5415"/>
        <w:gridCol w:w="3641"/>
      </w:tblGrid>
      <w:tr w:rsidR="00131D13" w:rsidRPr="0075481A" w14:paraId="0901DADB" w14:textId="77777777" w:rsidTr="00763305">
        <w:trPr>
          <w:cnfStyle w:val="000000100000" w:firstRow="0" w:lastRow="0" w:firstColumn="0" w:lastColumn="0" w:oddVBand="0" w:evenVBand="0" w:oddHBand="1" w:evenHBand="0" w:firstRowFirstColumn="0" w:firstRowLastColumn="0" w:lastRowFirstColumn="0" w:lastRowLastColumn="0"/>
          <w:trHeight w:val="429"/>
        </w:trPr>
        <w:tc>
          <w:tcPr>
            <w:cnfStyle w:val="000010000000" w:firstRow="0" w:lastRow="0" w:firstColumn="0" w:lastColumn="0" w:oddVBand="1" w:evenVBand="0" w:oddHBand="0" w:evenHBand="0" w:firstRowFirstColumn="0" w:firstRowLastColumn="0" w:lastRowFirstColumn="0" w:lastRowLastColumn="0"/>
            <w:tcW w:w="2990" w:type="pct"/>
          </w:tcPr>
          <w:p w14:paraId="04E9383E" w14:textId="7503974F" w:rsidR="00131D13" w:rsidRPr="0075481A" w:rsidRDefault="00763305" w:rsidP="002235D2">
            <w:pPr>
              <w:rPr>
                <w:rFonts w:ascii="Times New Roman" w:eastAsia="Times New Roman" w:hAnsi="Times New Roman" w:cs="Times New Roman"/>
                <w:b/>
              </w:rPr>
            </w:pPr>
            <w:r w:rsidRPr="0075481A">
              <w:rPr>
                <w:rFonts w:ascii="Times New Roman" w:eastAsia="Times New Roman" w:hAnsi="Times New Roman" w:cs="Times New Roman"/>
                <w:b/>
              </w:rPr>
              <w:t>Porez na dobit</w:t>
            </w:r>
          </w:p>
        </w:tc>
        <w:tc>
          <w:tcPr>
            <w:tcW w:w="2010" w:type="pct"/>
          </w:tcPr>
          <w:p w14:paraId="021F6211" w14:textId="7AC83961" w:rsidR="00131D13" w:rsidRPr="0075481A" w:rsidRDefault="00131D13" w:rsidP="00941C6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rPr>
            </w:pPr>
            <w:r w:rsidRPr="0075481A">
              <w:rPr>
                <w:rFonts w:ascii="Times New Roman" w:eastAsia="Times New Roman" w:hAnsi="Times New Roman" w:cs="Times New Roman"/>
                <w:b/>
                <w:lang w:val="en-US"/>
              </w:rPr>
              <w:t>20</w:t>
            </w:r>
            <w:r w:rsidR="00F23061" w:rsidRPr="0075481A">
              <w:rPr>
                <w:rFonts w:ascii="Times New Roman" w:eastAsia="Times New Roman" w:hAnsi="Times New Roman" w:cs="Times New Roman"/>
                <w:b/>
                <w:lang w:val="en-US"/>
              </w:rPr>
              <w:t>2</w:t>
            </w:r>
            <w:r w:rsidR="00941C67" w:rsidRPr="0075481A">
              <w:rPr>
                <w:rFonts w:ascii="Times New Roman" w:eastAsia="Times New Roman" w:hAnsi="Times New Roman" w:cs="Times New Roman"/>
                <w:b/>
                <w:lang w:val="en-US"/>
              </w:rPr>
              <w:t>3</w:t>
            </w:r>
            <w:r w:rsidRPr="0075481A">
              <w:rPr>
                <w:rFonts w:ascii="Times New Roman" w:eastAsia="Times New Roman" w:hAnsi="Times New Roman" w:cs="Times New Roman"/>
                <w:b/>
                <w:lang w:val="en-US"/>
              </w:rPr>
              <w:t>.</w:t>
            </w:r>
          </w:p>
        </w:tc>
      </w:tr>
      <w:tr w:rsidR="00131D13" w:rsidRPr="0075481A" w14:paraId="661D136D"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2735AB46" w14:textId="77777777" w:rsidR="00131D13" w:rsidRPr="0075481A" w:rsidRDefault="00131D13" w:rsidP="002235D2">
            <w:pPr>
              <w:rPr>
                <w:rFonts w:ascii="Times New Roman" w:eastAsia="Times New Roman" w:hAnsi="Times New Roman" w:cs="Times New Roman"/>
              </w:rPr>
            </w:pPr>
            <w:r w:rsidRPr="0075481A">
              <w:rPr>
                <w:rFonts w:ascii="Times New Roman" w:eastAsia="Times New Roman" w:hAnsi="Times New Roman" w:cs="Times New Roman"/>
              </w:rPr>
              <w:t>Računovodstvena dobit prije oporezivanja</w:t>
            </w:r>
          </w:p>
        </w:tc>
        <w:tc>
          <w:tcPr>
            <w:tcW w:w="2010" w:type="pct"/>
          </w:tcPr>
          <w:p w14:paraId="50F8713D" w14:textId="71F6C439" w:rsidR="00131D13" w:rsidRPr="0075481A" w:rsidRDefault="004D4AD1" w:rsidP="002235D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sidRPr="0075481A">
              <w:rPr>
                <w:rFonts w:ascii="Times New Roman" w:eastAsia="Times New Roman" w:hAnsi="Times New Roman" w:cs="Times New Roman"/>
                <w:b/>
                <w:lang w:val="en-US"/>
              </w:rPr>
              <w:t>11.082,30</w:t>
            </w:r>
          </w:p>
        </w:tc>
      </w:tr>
      <w:tr w:rsidR="00131D13" w:rsidRPr="0075481A" w14:paraId="123C7C78" w14:textId="77777777" w:rsidTr="00763305">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047F3217" w14:textId="77777777" w:rsidR="00131D13" w:rsidRPr="0075481A" w:rsidRDefault="00674870" w:rsidP="002235D2">
            <w:pPr>
              <w:rPr>
                <w:rFonts w:ascii="Times New Roman" w:eastAsia="Times New Roman" w:hAnsi="Times New Roman" w:cs="Times New Roman"/>
              </w:rPr>
            </w:pPr>
            <w:r w:rsidRPr="0075481A">
              <w:rPr>
                <w:rFonts w:ascii="Times New Roman" w:eastAsia="Times New Roman" w:hAnsi="Times New Roman" w:cs="Times New Roman"/>
              </w:rPr>
              <w:t>Ukupno smanjenje dobiti</w:t>
            </w:r>
          </w:p>
        </w:tc>
        <w:tc>
          <w:tcPr>
            <w:tcW w:w="2010" w:type="pct"/>
          </w:tcPr>
          <w:p w14:paraId="1EB148A4" w14:textId="1254EE72" w:rsidR="00131D13" w:rsidRPr="0075481A" w:rsidRDefault="00131D13" w:rsidP="004D4AD1">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5481A">
              <w:rPr>
                <w:rFonts w:ascii="Times New Roman" w:eastAsia="Times New Roman" w:hAnsi="Times New Roman" w:cs="Times New Roman"/>
                <w:lang w:val="en-US"/>
              </w:rPr>
              <w:t>(</w:t>
            </w:r>
            <w:r w:rsidR="004D4AD1" w:rsidRPr="0075481A">
              <w:rPr>
                <w:rFonts w:ascii="Times New Roman" w:eastAsia="Times New Roman" w:hAnsi="Times New Roman" w:cs="Times New Roman"/>
                <w:lang w:val="en-US"/>
              </w:rPr>
              <w:t>4.870,26</w:t>
            </w:r>
            <w:r w:rsidRPr="0075481A">
              <w:rPr>
                <w:rFonts w:ascii="Times New Roman" w:eastAsia="Times New Roman" w:hAnsi="Times New Roman" w:cs="Times New Roman"/>
                <w:lang w:val="en-US"/>
              </w:rPr>
              <w:t>)</w:t>
            </w:r>
          </w:p>
        </w:tc>
      </w:tr>
      <w:tr w:rsidR="00131D13" w:rsidRPr="0075481A" w14:paraId="67046B2B"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357FC69C" w14:textId="77777777" w:rsidR="00131D13" w:rsidRPr="0075481A" w:rsidRDefault="00131D13" w:rsidP="002235D2">
            <w:pPr>
              <w:rPr>
                <w:rFonts w:ascii="Times New Roman" w:eastAsia="Times New Roman" w:hAnsi="Times New Roman" w:cs="Times New Roman"/>
                <w:lang w:eastAsia="hr-HR"/>
              </w:rPr>
            </w:pPr>
            <w:r w:rsidRPr="0075481A">
              <w:rPr>
                <w:rFonts w:ascii="Times New Roman" w:eastAsia="Times New Roman" w:hAnsi="Times New Roman" w:cs="Times New Roman"/>
                <w:lang w:eastAsia="hr-HR"/>
              </w:rPr>
              <w:t>Porezno nepriznati troškovi</w:t>
            </w:r>
            <w:r w:rsidR="00674870" w:rsidRPr="0075481A">
              <w:rPr>
                <w:rFonts w:ascii="Times New Roman" w:eastAsia="Times New Roman" w:hAnsi="Times New Roman" w:cs="Times New Roman"/>
                <w:lang w:eastAsia="hr-HR"/>
              </w:rPr>
              <w:t xml:space="preserve"> (povećanje dobiti)</w:t>
            </w:r>
          </w:p>
        </w:tc>
        <w:tc>
          <w:tcPr>
            <w:tcW w:w="2010" w:type="pct"/>
          </w:tcPr>
          <w:p w14:paraId="01F31F4D" w14:textId="4C26C66B" w:rsidR="00131D13" w:rsidRPr="0075481A" w:rsidRDefault="004D4AD1" w:rsidP="00F2306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t-IT"/>
              </w:rPr>
            </w:pPr>
            <w:r w:rsidRPr="0075481A">
              <w:rPr>
                <w:rFonts w:ascii="Times New Roman" w:eastAsia="Times New Roman" w:hAnsi="Times New Roman" w:cs="Times New Roman"/>
                <w:lang w:val="it-IT"/>
              </w:rPr>
              <w:t>19.383,60</w:t>
            </w:r>
          </w:p>
        </w:tc>
      </w:tr>
      <w:tr w:rsidR="00131D13" w:rsidRPr="0075481A" w14:paraId="7B30148E" w14:textId="77777777" w:rsidTr="00763305">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2F90322E" w14:textId="77777777" w:rsidR="00131D13" w:rsidRPr="0075481A" w:rsidRDefault="00131D13" w:rsidP="002235D2">
            <w:pPr>
              <w:rPr>
                <w:rFonts w:ascii="Times New Roman" w:eastAsia="Times New Roman" w:hAnsi="Times New Roman" w:cs="Times New Roman"/>
                <w:b/>
                <w:bCs/>
              </w:rPr>
            </w:pPr>
            <w:r w:rsidRPr="0075481A">
              <w:rPr>
                <w:rFonts w:ascii="Times New Roman" w:eastAsia="Times New Roman" w:hAnsi="Times New Roman" w:cs="Times New Roman"/>
                <w:b/>
                <w:bCs/>
              </w:rPr>
              <w:t>Porezna osnovica</w:t>
            </w:r>
          </w:p>
        </w:tc>
        <w:tc>
          <w:tcPr>
            <w:tcW w:w="2010" w:type="pct"/>
          </w:tcPr>
          <w:p w14:paraId="49E1EC39" w14:textId="1017FF8C" w:rsidR="00131D13" w:rsidRPr="0075481A" w:rsidRDefault="004D4AD1" w:rsidP="002235D2">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rPr>
            </w:pPr>
            <w:r w:rsidRPr="0075481A">
              <w:rPr>
                <w:rFonts w:ascii="Times New Roman" w:eastAsia="Times New Roman" w:hAnsi="Times New Roman" w:cs="Times New Roman"/>
                <w:b/>
                <w:lang w:val="en-US"/>
              </w:rPr>
              <w:t>25.595,64</w:t>
            </w:r>
          </w:p>
        </w:tc>
      </w:tr>
      <w:tr w:rsidR="00131D13" w:rsidRPr="0075481A" w14:paraId="2B42DDB6"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7E918138" w14:textId="77777777" w:rsidR="00131D13" w:rsidRPr="0075481A" w:rsidRDefault="00131D13" w:rsidP="002235D2">
            <w:pPr>
              <w:rPr>
                <w:rFonts w:ascii="Times New Roman" w:eastAsia="Times New Roman" w:hAnsi="Times New Roman" w:cs="Times New Roman"/>
                <w:b/>
                <w:bCs/>
              </w:rPr>
            </w:pPr>
            <w:r w:rsidRPr="0075481A">
              <w:rPr>
                <w:rFonts w:ascii="Times New Roman" w:eastAsia="Times New Roman" w:hAnsi="Times New Roman" w:cs="Times New Roman"/>
                <w:b/>
                <w:bCs/>
              </w:rPr>
              <w:t>Porezna stopa</w:t>
            </w:r>
          </w:p>
        </w:tc>
        <w:tc>
          <w:tcPr>
            <w:tcW w:w="2010" w:type="pct"/>
          </w:tcPr>
          <w:p w14:paraId="2F174871" w14:textId="77777777" w:rsidR="00131D13" w:rsidRPr="0075481A" w:rsidRDefault="00131D13" w:rsidP="002235D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sidRPr="0075481A">
              <w:rPr>
                <w:rFonts w:ascii="Times New Roman" w:eastAsia="Times New Roman" w:hAnsi="Times New Roman" w:cs="Times New Roman"/>
                <w:b/>
                <w:lang w:val="en-US"/>
              </w:rPr>
              <w:t>18%</w:t>
            </w:r>
          </w:p>
        </w:tc>
      </w:tr>
      <w:tr w:rsidR="00131D13" w:rsidRPr="0075481A" w14:paraId="6A49DC25" w14:textId="77777777" w:rsidTr="00763305">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3F404D9C" w14:textId="77777777" w:rsidR="00131D13" w:rsidRPr="0075481A" w:rsidRDefault="00131D13" w:rsidP="002235D2">
            <w:pPr>
              <w:rPr>
                <w:rFonts w:ascii="Times New Roman" w:eastAsia="Times New Roman" w:hAnsi="Times New Roman" w:cs="Times New Roman"/>
                <w:b/>
                <w:bCs/>
              </w:rPr>
            </w:pPr>
            <w:r w:rsidRPr="0075481A">
              <w:rPr>
                <w:rFonts w:ascii="Times New Roman" w:eastAsia="Times New Roman" w:hAnsi="Times New Roman" w:cs="Times New Roman"/>
                <w:b/>
                <w:bCs/>
              </w:rPr>
              <w:t xml:space="preserve">Porezna obveza </w:t>
            </w:r>
          </w:p>
        </w:tc>
        <w:tc>
          <w:tcPr>
            <w:tcW w:w="2010" w:type="pct"/>
          </w:tcPr>
          <w:p w14:paraId="20EE1FE2" w14:textId="0C5E36F9" w:rsidR="00131D13" w:rsidRPr="0075481A" w:rsidRDefault="004D4AD1" w:rsidP="002235D2">
            <w:pPr>
              <w:ind w:right="-57"/>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rPr>
            </w:pPr>
            <w:r w:rsidRPr="0075481A">
              <w:rPr>
                <w:rFonts w:ascii="Times New Roman" w:eastAsia="Times New Roman" w:hAnsi="Times New Roman" w:cs="Times New Roman"/>
                <w:b/>
                <w:lang w:val="en-US"/>
              </w:rPr>
              <w:t>4.607,22</w:t>
            </w:r>
          </w:p>
        </w:tc>
      </w:tr>
      <w:tr w:rsidR="00763305" w:rsidRPr="0075481A" w14:paraId="031C6004" w14:textId="77777777" w:rsidTr="00763305">
        <w:trPr>
          <w:trHeight w:hRule="exact" w:val="397"/>
        </w:trPr>
        <w:tc>
          <w:tcPr>
            <w:cnfStyle w:val="000010000000" w:firstRow="0" w:lastRow="0" w:firstColumn="0" w:lastColumn="0" w:oddVBand="1" w:evenVBand="0" w:oddHBand="0" w:evenHBand="0" w:firstRowFirstColumn="0" w:firstRowLastColumn="0" w:lastRowFirstColumn="0" w:lastRowLastColumn="0"/>
            <w:tcW w:w="2990" w:type="pct"/>
          </w:tcPr>
          <w:p w14:paraId="04321F22" w14:textId="4513CB79" w:rsidR="00763305" w:rsidRPr="0075481A" w:rsidRDefault="00763305" w:rsidP="002235D2">
            <w:pPr>
              <w:rPr>
                <w:rFonts w:ascii="Times New Roman" w:eastAsia="Times New Roman" w:hAnsi="Times New Roman" w:cs="Times New Roman"/>
                <w:b/>
                <w:bCs/>
              </w:rPr>
            </w:pPr>
            <w:r w:rsidRPr="0075481A">
              <w:rPr>
                <w:rFonts w:ascii="Times New Roman" w:eastAsia="Times New Roman" w:hAnsi="Times New Roman" w:cs="Times New Roman"/>
                <w:b/>
                <w:bCs/>
              </w:rPr>
              <w:t>Dobit poreznog razdoblja</w:t>
            </w:r>
          </w:p>
        </w:tc>
        <w:tc>
          <w:tcPr>
            <w:tcW w:w="2010" w:type="pct"/>
          </w:tcPr>
          <w:p w14:paraId="11E1162C" w14:textId="42AE4AE7" w:rsidR="00763305" w:rsidRPr="0075481A" w:rsidRDefault="004D4AD1" w:rsidP="002235D2">
            <w:pPr>
              <w:ind w:right="-5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sidRPr="0075481A">
              <w:rPr>
                <w:rFonts w:ascii="Times New Roman" w:eastAsia="Times New Roman" w:hAnsi="Times New Roman" w:cs="Times New Roman"/>
                <w:b/>
                <w:lang w:val="en-US"/>
              </w:rPr>
              <w:t>6.475,08</w:t>
            </w:r>
          </w:p>
        </w:tc>
      </w:tr>
    </w:tbl>
    <w:p w14:paraId="1AC4ED88" w14:textId="77777777" w:rsidR="005708B4" w:rsidRDefault="00131D13" w:rsidP="005708B4">
      <w:pPr>
        <w:spacing w:after="0" w:line="240" w:lineRule="auto"/>
        <w:jc w:val="right"/>
        <w:rPr>
          <w:rFonts w:ascii="Times New Roman" w:eastAsia="Times New Roman" w:hAnsi="Times New Roman" w:cs="Times New Roman"/>
          <w:b/>
        </w:rPr>
      </w:pPr>
      <w:r w:rsidRPr="0075481A">
        <w:rPr>
          <w:rFonts w:ascii="Times New Roman" w:eastAsia="Times New Roman" w:hAnsi="Times New Roman" w:cs="Times New Roman"/>
          <w:b/>
        </w:rPr>
        <w:tab/>
      </w:r>
    </w:p>
    <w:p w14:paraId="4BF18009" w14:textId="1ED29293" w:rsidR="00131D13" w:rsidRPr="0075481A" w:rsidRDefault="00DE7202" w:rsidP="00131D13">
      <w:pPr>
        <w:spacing w:after="0" w:line="240" w:lineRule="auto"/>
        <w:jc w:val="both"/>
        <w:rPr>
          <w:rFonts w:ascii="Times New Roman" w:eastAsia="Times New Roman" w:hAnsi="Times New Roman" w:cs="Times New Roman"/>
          <w:b/>
        </w:rPr>
      </w:pPr>
      <w:r w:rsidRPr="0075481A">
        <w:rPr>
          <w:rFonts w:ascii="Times New Roman" w:eastAsia="Times New Roman" w:hAnsi="Times New Roman" w:cs="Times New Roman"/>
          <w:b/>
        </w:rPr>
        <w:t>Bilješke 2</w:t>
      </w:r>
      <w:r w:rsidR="00C565D4">
        <w:rPr>
          <w:rFonts w:ascii="Times New Roman" w:eastAsia="Times New Roman" w:hAnsi="Times New Roman" w:cs="Times New Roman"/>
          <w:b/>
        </w:rPr>
        <w:t>7</w:t>
      </w:r>
      <w:r w:rsidRPr="0075481A">
        <w:rPr>
          <w:rFonts w:ascii="Times New Roman" w:eastAsia="Times New Roman" w:hAnsi="Times New Roman" w:cs="Times New Roman"/>
          <w:b/>
        </w:rPr>
        <w:t>. Upravljanje financijskim rizicima</w:t>
      </w:r>
    </w:p>
    <w:p w14:paraId="22BACD47" w14:textId="77777777" w:rsidR="00DE7202" w:rsidRPr="0075481A" w:rsidRDefault="00DE7202" w:rsidP="00131D13">
      <w:pPr>
        <w:spacing w:after="0" w:line="240" w:lineRule="auto"/>
        <w:jc w:val="both"/>
        <w:rPr>
          <w:rFonts w:ascii="Times New Roman" w:eastAsia="Times New Roman" w:hAnsi="Times New Roman" w:cs="Times New Roman"/>
          <w:b/>
        </w:rPr>
      </w:pPr>
    </w:p>
    <w:p w14:paraId="0D9ED4CA" w14:textId="03C4FA9D" w:rsidR="00DE7202" w:rsidRPr="0075481A" w:rsidRDefault="00DE7202" w:rsidP="00131D13">
      <w:pPr>
        <w:spacing w:after="0" w:line="240" w:lineRule="auto"/>
        <w:jc w:val="both"/>
        <w:rPr>
          <w:rFonts w:ascii="Times New Roman" w:eastAsia="Times New Roman" w:hAnsi="Times New Roman" w:cs="Times New Roman"/>
        </w:rPr>
      </w:pPr>
      <w:r w:rsidRPr="0075481A">
        <w:rPr>
          <w:rFonts w:ascii="Times New Roman" w:eastAsia="Times New Roman" w:hAnsi="Times New Roman" w:cs="Times New Roman"/>
        </w:rPr>
        <w:t>Faktor financijskog rizika</w:t>
      </w:r>
    </w:p>
    <w:p w14:paraId="7B8A4D50" w14:textId="77777777" w:rsidR="00DE7202" w:rsidRPr="0075481A" w:rsidRDefault="00DE7202" w:rsidP="00131D13">
      <w:pPr>
        <w:spacing w:after="0" w:line="240" w:lineRule="auto"/>
        <w:jc w:val="both"/>
        <w:rPr>
          <w:rFonts w:ascii="Times New Roman" w:eastAsia="Times New Roman" w:hAnsi="Times New Roman" w:cs="Times New Roman"/>
        </w:rPr>
      </w:pPr>
    </w:p>
    <w:p w14:paraId="36CF18F3" w14:textId="5E9420C0" w:rsidR="00DE7202" w:rsidRPr="0075481A" w:rsidRDefault="00DE7202" w:rsidP="00131D13">
      <w:pPr>
        <w:spacing w:after="0" w:line="240" w:lineRule="auto"/>
        <w:jc w:val="both"/>
        <w:rPr>
          <w:rFonts w:ascii="Times New Roman" w:eastAsia="Times New Roman" w:hAnsi="Times New Roman" w:cs="Times New Roman"/>
        </w:rPr>
      </w:pPr>
      <w:r w:rsidRPr="0075481A">
        <w:rPr>
          <w:rFonts w:ascii="Times New Roman" w:eastAsia="Times New Roman" w:hAnsi="Times New Roman" w:cs="Times New Roman"/>
        </w:rPr>
        <w:t>Aktivnosti kojima se Društvo bavi izlažu ga financijskim rizicima, uključujući učinke promjena tržišnih cijena, deviznog tečaja i kamatnih stopa.</w:t>
      </w:r>
    </w:p>
    <w:p w14:paraId="2E6763B8" w14:textId="77777777" w:rsidR="00631C11" w:rsidRPr="0075481A" w:rsidRDefault="00631C11" w:rsidP="00131D13">
      <w:pPr>
        <w:spacing w:after="0" w:line="240" w:lineRule="auto"/>
        <w:jc w:val="both"/>
        <w:rPr>
          <w:rFonts w:ascii="Times New Roman" w:eastAsia="Times New Roman" w:hAnsi="Times New Roman" w:cs="Times New Roman"/>
        </w:rPr>
      </w:pPr>
    </w:p>
    <w:p w14:paraId="4547574C" w14:textId="77777777" w:rsidR="00631C11" w:rsidRPr="0075481A" w:rsidRDefault="00631C11" w:rsidP="00631C11">
      <w:pPr>
        <w:pStyle w:val="Odlomakpopisa"/>
        <w:numPr>
          <w:ilvl w:val="0"/>
          <w:numId w:val="5"/>
        </w:numPr>
        <w:spacing w:line="240" w:lineRule="auto"/>
        <w:ind w:hanging="720"/>
        <w:rPr>
          <w:rFonts w:ascii="Times New Roman" w:eastAsia="Times New Roman" w:hAnsi="Times New Roman"/>
          <w:b/>
        </w:rPr>
      </w:pPr>
      <w:r w:rsidRPr="0075481A">
        <w:rPr>
          <w:rFonts w:ascii="Times New Roman" w:eastAsia="Times New Roman" w:hAnsi="Times New Roman"/>
          <w:b/>
        </w:rPr>
        <w:t>Valutni i kamatni rizik</w:t>
      </w:r>
    </w:p>
    <w:p w14:paraId="5CECDF91" w14:textId="77777777" w:rsidR="00631C11" w:rsidRPr="0075481A" w:rsidRDefault="00631C11" w:rsidP="00631C11">
      <w:pPr>
        <w:spacing w:after="0" w:line="240" w:lineRule="auto"/>
        <w:jc w:val="both"/>
        <w:rPr>
          <w:rFonts w:ascii="Times New Roman" w:eastAsia="Times New Roman" w:hAnsi="Times New Roman" w:cs="Times New Roman"/>
          <w:bCs/>
        </w:rPr>
      </w:pPr>
    </w:p>
    <w:p w14:paraId="0649992B" w14:textId="59508FC8" w:rsidR="00631C11" w:rsidRPr="0075481A" w:rsidRDefault="00631C11" w:rsidP="00631C11">
      <w:pPr>
        <w:spacing w:after="0" w:line="240" w:lineRule="auto"/>
        <w:jc w:val="both"/>
        <w:rPr>
          <w:rFonts w:ascii="Times New Roman" w:eastAsia="Times New Roman" w:hAnsi="Times New Roman" w:cs="Times New Roman"/>
          <w:bCs/>
        </w:rPr>
      </w:pPr>
      <w:r w:rsidRPr="0075481A">
        <w:rPr>
          <w:rFonts w:ascii="Times New Roman" w:eastAsia="Times New Roman" w:hAnsi="Times New Roman" w:cs="Times New Roman"/>
          <w:bCs/>
        </w:rPr>
        <w:t xml:space="preserve">Prihod od prodaje na domaćem tržištu je ostvaren u </w:t>
      </w:r>
      <w:r w:rsidR="004D4AD1" w:rsidRPr="0075481A">
        <w:rPr>
          <w:rFonts w:ascii="Times New Roman" w:eastAsia="Times New Roman" w:hAnsi="Times New Roman" w:cs="Times New Roman"/>
          <w:bCs/>
        </w:rPr>
        <w:t>EUR</w:t>
      </w:r>
      <w:r w:rsidRPr="0075481A">
        <w:rPr>
          <w:rFonts w:ascii="Times New Roman" w:eastAsia="Times New Roman" w:hAnsi="Times New Roman" w:cs="Times New Roman"/>
          <w:bCs/>
        </w:rPr>
        <w:t>, stoga s navedene osnove nema rizika od promjene tečaja.</w:t>
      </w:r>
    </w:p>
    <w:p w14:paraId="5085B1C7" w14:textId="77777777" w:rsidR="00631C11" w:rsidRPr="0075481A" w:rsidRDefault="00631C11" w:rsidP="00631C11">
      <w:pPr>
        <w:spacing w:after="0" w:line="240" w:lineRule="auto"/>
        <w:jc w:val="both"/>
        <w:rPr>
          <w:rFonts w:ascii="Times New Roman" w:eastAsia="Times New Roman" w:hAnsi="Times New Roman" w:cs="Times New Roman"/>
          <w:bCs/>
        </w:rPr>
      </w:pPr>
      <w:r w:rsidRPr="0075481A">
        <w:rPr>
          <w:rFonts w:ascii="Times New Roman" w:eastAsia="Times New Roman" w:hAnsi="Times New Roman" w:cs="Times New Roman"/>
          <w:bCs/>
        </w:rPr>
        <w:t>Kamatni rizik je rizik od promjene vrijednosti financijskih instrumenta uslijed promjene tržišnih kamatnih stopa.  Kamatni rizik povezuje se s promjenjivim kamatnim stopama na primljene kredite.</w:t>
      </w:r>
    </w:p>
    <w:p w14:paraId="3402111C" w14:textId="77777777" w:rsidR="00631C11" w:rsidRPr="0075481A" w:rsidRDefault="00631C11" w:rsidP="00631C11">
      <w:pPr>
        <w:spacing w:after="0" w:line="240" w:lineRule="auto"/>
        <w:rPr>
          <w:rFonts w:ascii="Times New Roman" w:eastAsia="Times New Roman" w:hAnsi="Times New Roman" w:cs="Times New Roman"/>
          <w:bCs/>
        </w:rPr>
      </w:pPr>
    </w:p>
    <w:p w14:paraId="4E5735A3" w14:textId="77777777" w:rsidR="00631C11" w:rsidRPr="0075481A" w:rsidRDefault="00631C11" w:rsidP="00631C11">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b)</w:t>
      </w:r>
      <w:r w:rsidRPr="0075481A">
        <w:rPr>
          <w:rFonts w:ascii="Times New Roman" w:eastAsia="Times New Roman" w:hAnsi="Times New Roman" w:cs="Times New Roman"/>
          <w:b/>
        </w:rPr>
        <w:tab/>
        <w:t>Kreditni rizik</w:t>
      </w:r>
    </w:p>
    <w:p w14:paraId="02B19F96" w14:textId="77777777" w:rsidR="00631C11" w:rsidRPr="0075481A" w:rsidRDefault="00631C11" w:rsidP="00631C11">
      <w:pPr>
        <w:spacing w:after="0" w:line="240" w:lineRule="auto"/>
        <w:rPr>
          <w:rFonts w:ascii="Times New Roman" w:eastAsia="Times New Roman" w:hAnsi="Times New Roman" w:cs="Times New Roman"/>
          <w:bCs/>
        </w:rPr>
      </w:pPr>
    </w:p>
    <w:p w14:paraId="7343EA26" w14:textId="77777777" w:rsidR="00631C11" w:rsidRPr="0075481A" w:rsidRDefault="00631C11" w:rsidP="00631C11">
      <w:pPr>
        <w:spacing w:after="0" w:line="240" w:lineRule="auto"/>
        <w:jc w:val="both"/>
        <w:rPr>
          <w:rFonts w:ascii="Times New Roman" w:eastAsia="Times New Roman" w:hAnsi="Times New Roman" w:cs="Times New Roman"/>
          <w:bCs/>
        </w:rPr>
      </w:pPr>
      <w:r w:rsidRPr="0075481A">
        <w:rPr>
          <w:rFonts w:ascii="Times New Roman" w:eastAsia="Times New Roman" w:hAnsi="Times New Roman" w:cs="Times New Roman"/>
          <w:bCs/>
        </w:rPr>
        <w:t>Osnovna financijska imovina koja potencijalno može izložiti Društvo kreditnom riziku obuhvaća novac, potraživanja od kupaca i ostala potraživanja.</w:t>
      </w:r>
    </w:p>
    <w:p w14:paraId="6D144A8B" w14:textId="77777777" w:rsidR="00631C11" w:rsidRPr="0075481A" w:rsidRDefault="00631C11" w:rsidP="00631C11">
      <w:pPr>
        <w:spacing w:after="0" w:line="240" w:lineRule="auto"/>
        <w:jc w:val="both"/>
        <w:rPr>
          <w:rFonts w:ascii="Times New Roman" w:eastAsia="Times New Roman" w:hAnsi="Times New Roman" w:cs="Times New Roman"/>
          <w:bCs/>
        </w:rPr>
      </w:pPr>
      <w:r w:rsidRPr="0075481A">
        <w:rPr>
          <w:rFonts w:ascii="Times New Roman" w:eastAsia="Times New Roman" w:hAnsi="Times New Roman" w:cs="Times New Roman"/>
          <w:bCs/>
        </w:rPr>
        <w:t>Kreditni rizik je onaj koji nastaje pri ulaganju novčanih sredstava u financijske plasmane. Sastoji se od opasnosti da se uložena sredstva neće vratiti, da se neće vratiti u cijelosti, odnosno da se neće vratiti planiranom dinamikom.</w:t>
      </w:r>
    </w:p>
    <w:p w14:paraId="3E7CA64A" w14:textId="77777777" w:rsidR="00631C11" w:rsidRPr="0075481A" w:rsidRDefault="00631C11" w:rsidP="00631C11">
      <w:pPr>
        <w:spacing w:after="0" w:line="240" w:lineRule="auto"/>
        <w:jc w:val="both"/>
        <w:rPr>
          <w:rFonts w:ascii="Times New Roman" w:eastAsia="Times New Roman" w:hAnsi="Times New Roman" w:cs="Times New Roman"/>
          <w:bCs/>
        </w:rPr>
      </w:pPr>
    </w:p>
    <w:p w14:paraId="4F043F05" w14:textId="77777777" w:rsidR="00631C11" w:rsidRPr="0075481A" w:rsidRDefault="00631C11" w:rsidP="00631C11">
      <w:pPr>
        <w:spacing w:after="0" w:line="240" w:lineRule="auto"/>
        <w:jc w:val="both"/>
        <w:rPr>
          <w:rFonts w:ascii="Times New Roman" w:eastAsia="Times New Roman" w:hAnsi="Times New Roman" w:cs="Times New Roman"/>
          <w:bCs/>
        </w:rPr>
      </w:pPr>
      <w:r w:rsidRPr="0075481A">
        <w:rPr>
          <w:rFonts w:ascii="Times New Roman" w:eastAsia="Times New Roman" w:hAnsi="Times New Roman" w:cs="Times New Roman"/>
          <w:bCs/>
        </w:rPr>
        <w:t>Potraživanja od kupaca su ispravljena za umanjenje vrijednosti potraživanja koja su nenadoknadiva. Koncentracija kreditnog rizika vezano uz potraživanja od kupaca limitirana je velikim brojem različitih kupaca. Kreditni limiti kupaca redovito se provjeravaju i usklađuju.</w:t>
      </w:r>
    </w:p>
    <w:p w14:paraId="70F2905C" w14:textId="77777777" w:rsidR="00631C11" w:rsidRPr="0075481A" w:rsidRDefault="00631C11" w:rsidP="00631C11">
      <w:pPr>
        <w:spacing w:after="0" w:line="240" w:lineRule="auto"/>
        <w:jc w:val="both"/>
        <w:rPr>
          <w:rFonts w:ascii="Times New Roman" w:eastAsia="Times New Roman" w:hAnsi="Times New Roman" w:cs="Times New Roman"/>
          <w:bCs/>
        </w:rPr>
      </w:pPr>
    </w:p>
    <w:p w14:paraId="2EFC3410" w14:textId="1330C956" w:rsidR="00A81432" w:rsidRPr="00A81432" w:rsidRDefault="00A81432" w:rsidP="00A81432">
      <w:pPr>
        <w:spacing w:after="0" w:line="240" w:lineRule="auto"/>
        <w:jc w:val="right"/>
        <w:rPr>
          <w:rFonts w:ascii="Times New Roman" w:eastAsia="Times New Roman" w:hAnsi="Times New Roman" w:cs="Times New Roman"/>
        </w:rPr>
      </w:pPr>
      <w:r w:rsidRPr="00A81432">
        <w:rPr>
          <w:rFonts w:ascii="Times New Roman" w:eastAsia="Times New Roman" w:hAnsi="Times New Roman" w:cs="Times New Roman"/>
        </w:rPr>
        <w:t>14</w:t>
      </w:r>
    </w:p>
    <w:p w14:paraId="1C661498" w14:textId="77777777" w:rsidR="00A81432" w:rsidRDefault="00A81432" w:rsidP="00631C11">
      <w:pPr>
        <w:spacing w:after="0" w:line="240" w:lineRule="auto"/>
        <w:rPr>
          <w:rFonts w:ascii="Times New Roman" w:eastAsia="Times New Roman" w:hAnsi="Times New Roman" w:cs="Times New Roman"/>
          <w:b/>
        </w:rPr>
      </w:pPr>
    </w:p>
    <w:p w14:paraId="7E2E3013" w14:textId="77777777" w:rsidR="00631C11" w:rsidRPr="0075481A" w:rsidRDefault="00631C11" w:rsidP="00631C11">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c)</w:t>
      </w:r>
      <w:r w:rsidRPr="0075481A">
        <w:rPr>
          <w:rFonts w:ascii="Times New Roman" w:eastAsia="Times New Roman" w:hAnsi="Times New Roman" w:cs="Times New Roman"/>
          <w:b/>
        </w:rPr>
        <w:tab/>
        <w:t>Rizik likvidnosti</w:t>
      </w:r>
    </w:p>
    <w:p w14:paraId="4CF757CA" w14:textId="77777777" w:rsidR="00631C11" w:rsidRPr="0075481A" w:rsidRDefault="00631C11" w:rsidP="00631C11">
      <w:pPr>
        <w:spacing w:after="0" w:line="240" w:lineRule="auto"/>
        <w:rPr>
          <w:rFonts w:ascii="Times New Roman" w:eastAsia="Times New Roman" w:hAnsi="Times New Roman" w:cs="Times New Roman"/>
          <w:bCs/>
        </w:rPr>
      </w:pPr>
    </w:p>
    <w:p w14:paraId="47EFC935" w14:textId="77777777" w:rsidR="00631C11" w:rsidRPr="0075481A" w:rsidRDefault="00631C11" w:rsidP="00631C11">
      <w:pPr>
        <w:spacing w:after="0" w:line="240" w:lineRule="auto"/>
        <w:jc w:val="both"/>
        <w:rPr>
          <w:rFonts w:ascii="Times New Roman" w:eastAsia="Times New Roman" w:hAnsi="Times New Roman" w:cs="Times New Roman"/>
          <w:bCs/>
        </w:rPr>
      </w:pPr>
      <w:r w:rsidRPr="0075481A">
        <w:rPr>
          <w:rFonts w:ascii="Times New Roman" w:eastAsia="Times New Roman" w:hAnsi="Times New Roman" w:cs="Times New Roman"/>
          <w:bCs/>
        </w:rPr>
        <w:t xml:space="preserve">Rizik likvidnosti i rizik tijeka gotovine, koji se smatraju rizikom financiranja, određuju se kao opasnost od neusklađenosti dospjelih sredstava i obveza prema izvorima sredstava, što za posljedicu ima teškoće s likvidnošću, odnosno nedostatkom novčanih sredstava za podmirenje dospjelih obveza. </w:t>
      </w:r>
    </w:p>
    <w:p w14:paraId="021392C4" w14:textId="77777777" w:rsidR="00631C11" w:rsidRPr="0075481A" w:rsidRDefault="00631C11" w:rsidP="00631C11">
      <w:pPr>
        <w:spacing w:after="0" w:line="240" w:lineRule="auto"/>
        <w:jc w:val="both"/>
        <w:rPr>
          <w:rFonts w:ascii="Times New Roman" w:eastAsia="Times New Roman" w:hAnsi="Times New Roman" w:cs="Times New Roman"/>
          <w:bCs/>
        </w:rPr>
      </w:pPr>
      <w:r w:rsidRPr="0075481A">
        <w:rPr>
          <w:rFonts w:ascii="Times New Roman" w:eastAsia="Times New Roman" w:hAnsi="Times New Roman" w:cs="Times New Roman"/>
          <w:bCs/>
        </w:rPr>
        <w:t>Uprava veliku pozornost obraća na tok novca, prateći stvarne dnevne promjene, kako se rizik likvidnosti ne bi pogoršavao.</w:t>
      </w:r>
    </w:p>
    <w:p w14:paraId="38408809" w14:textId="77777777" w:rsidR="00631C11" w:rsidRPr="0075481A" w:rsidRDefault="00631C11" w:rsidP="00631C11">
      <w:pPr>
        <w:spacing w:after="0" w:line="240" w:lineRule="auto"/>
        <w:jc w:val="both"/>
        <w:rPr>
          <w:rFonts w:ascii="Times New Roman" w:eastAsia="Times New Roman" w:hAnsi="Times New Roman" w:cs="Times New Roman"/>
          <w:bCs/>
        </w:rPr>
      </w:pPr>
    </w:p>
    <w:p w14:paraId="778B1FDE" w14:textId="77777777" w:rsidR="00631C11" w:rsidRPr="0075481A" w:rsidRDefault="00631C11" w:rsidP="00631C11">
      <w:pPr>
        <w:spacing w:after="0" w:line="240" w:lineRule="auto"/>
        <w:rPr>
          <w:rFonts w:ascii="Times New Roman" w:eastAsia="Times New Roman" w:hAnsi="Times New Roman" w:cs="Times New Roman"/>
          <w:bCs/>
        </w:rPr>
      </w:pPr>
    </w:p>
    <w:p w14:paraId="2F528CB9" w14:textId="38977A1B" w:rsidR="00631C11" w:rsidRPr="0075481A" w:rsidRDefault="00631C11" w:rsidP="00631C11">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 xml:space="preserve">Bilješka </w:t>
      </w:r>
      <w:r w:rsidR="00590D4A">
        <w:rPr>
          <w:rFonts w:ascii="Times New Roman" w:eastAsia="Times New Roman" w:hAnsi="Times New Roman" w:cs="Times New Roman"/>
          <w:b/>
        </w:rPr>
        <w:t>2</w:t>
      </w:r>
      <w:r w:rsidR="00C565D4">
        <w:rPr>
          <w:rFonts w:ascii="Times New Roman" w:eastAsia="Times New Roman" w:hAnsi="Times New Roman" w:cs="Times New Roman"/>
          <w:b/>
        </w:rPr>
        <w:t>8</w:t>
      </w:r>
      <w:r w:rsidRPr="0075481A">
        <w:rPr>
          <w:rFonts w:ascii="Times New Roman" w:eastAsia="Times New Roman" w:hAnsi="Times New Roman" w:cs="Times New Roman"/>
          <w:b/>
        </w:rPr>
        <w:t>.</w:t>
      </w:r>
      <w:r w:rsidRPr="0075481A">
        <w:rPr>
          <w:rFonts w:ascii="Times New Roman" w:eastAsia="Times New Roman" w:hAnsi="Times New Roman" w:cs="Times New Roman"/>
          <w:b/>
        </w:rPr>
        <w:tab/>
        <w:t>Značajne računovodstvene procjene i prosudbe</w:t>
      </w:r>
    </w:p>
    <w:p w14:paraId="0CED5F77" w14:textId="77777777" w:rsidR="00631C11" w:rsidRPr="0075481A" w:rsidRDefault="00631C11" w:rsidP="00631C11">
      <w:pPr>
        <w:spacing w:after="0" w:line="240" w:lineRule="auto"/>
        <w:rPr>
          <w:rFonts w:ascii="Times New Roman" w:eastAsia="Times New Roman" w:hAnsi="Times New Roman" w:cs="Times New Roman"/>
          <w:bCs/>
        </w:rPr>
      </w:pPr>
    </w:p>
    <w:p w14:paraId="09740BEF" w14:textId="77777777" w:rsidR="00631C11" w:rsidRPr="0075481A" w:rsidRDefault="00631C11" w:rsidP="00631C11">
      <w:pPr>
        <w:pStyle w:val="Odlomakpopisa"/>
        <w:numPr>
          <w:ilvl w:val="0"/>
          <w:numId w:val="6"/>
        </w:numPr>
        <w:spacing w:line="240" w:lineRule="auto"/>
        <w:rPr>
          <w:rFonts w:ascii="Times New Roman" w:eastAsia="Times New Roman" w:hAnsi="Times New Roman"/>
          <w:b/>
        </w:rPr>
      </w:pPr>
      <w:r w:rsidRPr="0075481A">
        <w:rPr>
          <w:rFonts w:ascii="Times New Roman" w:eastAsia="Times New Roman" w:hAnsi="Times New Roman"/>
          <w:b/>
        </w:rPr>
        <w:t>Značajne računovodstvene procjene i izvori</w:t>
      </w:r>
    </w:p>
    <w:p w14:paraId="43FA900A" w14:textId="77777777" w:rsidR="00631C11" w:rsidRPr="0075481A" w:rsidRDefault="00631C11" w:rsidP="00631C11">
      <w:pPr>
        <w:pStyle w:val="Odlomakpopisa"/>
        <w:spacing w:line="240" w:lineRule="auto"/>
        <w:rPr>
          <w:rFonts w:ascii="Times New Roman" w:eastAsia="Times New Roman" w:hAnsi="Times New Roman"/>
          <w:b/>
        </w:rPr>
      </w:pPr>
    </w:p>
    <w:p w14:paraId="7E749CA8" w14:textId="77777777" w:rsidR="00631C11" w:rsidRPr="0075481A" w:rsidRDefault="00631C11" w:rsidP="00631C11">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 xml:space="preserve">Porez na dobit </w:t>
      </w:r>
    </w:p>
    <w:p w14:paraId="5AAACEBE" w14:textId="77777777" w:rsidR="00631C11" w:rsidRPr="0075481A" w:rsidRDefault="00631C11" w:rsidP="00631C11">
      <w:pPr>
        <w:spacing w:after="0" w:line="240" w:lineRule="auto"/>
        <w:rPr>
          <w:rFonts w:ascii="Times New Roman" w:eastAsia="Times New Roman" w:hAnsi="Times New Roman" w:cs="Times New Roman"/>
          <w:bCs/>
        </w:rPr>
      </w:pPr>
    </w:p>
    <w:p w14:paraId="65CA36A6" w14:textId="77777777" w:rsidR="00631C11" w:rsidRPr="0075481A" w:rsidRDefault="00631C11" w:rsidP="00631C11">
      <w:pPr>
        <w:spacing w:after="0" w:line="240" w:lineRule="auto"/>
        <w:rPr>
          <w:rFonts w:ascii="Times New Roman" w:eastAsia="Times New Roman" w:hAnsi="Times New Roman" w:cs="Times New Roman"/>
          <w:bCs/>
        </w:rPr>
      </w:pPr>
      <w:r w:rsidRPr="0075481A">
        <w:rPr>
          <w:rFonts w:ascii="Times New Roman" w:eastAsia="Times New Roman" w:hAnsi="Times New Roman" w:cs="Times New Roman"/>
          <w:bCs/>
        </w:rPr>
        <w:t>Kalkulacija poreza na dobit je rađena na temelju važećih pravila i zakona. Kalkulacije koje su osnova za izračun poreza na dobit mogu biti predmet provjere poreznih vlasti.</w:t>
      </w:r>
    </w:p>
    <w:p w14:paraId="293A22BF" w14:textId="77777777" w:rsidR="00F5210A" w:rsidRPr="0075481A" w:rsidRDefault="00F5210A" w:rsidP="00F5210A">
      <w:pPr>
        <w:spacing w:line="240" w:lineRule="auto"/>
        <w:rPr>
          <w:rFonts w:ascii="Times New Roman" w:eastAsia="Times New Roman" w:hAnsi="Times New Roman" w:cs="Times New Roman"/>
          <w:b/>
        </w:rPr>
      </w:pPr>
    </w:p>
    <w:p w14:paraId="2B7FB240" w14:textId="77777777" w:rsidR="00631C11" w:rsidRPr="0075481A" w:rsidRDefault="00631C11" w:rsidP="00631C11">
      <w:pPr>
        <w:pStyle w:val="Odlomakpopisa"/>
        <w:numPr>
          <w:ilvl w:val="0"/>
          <w:numId w:val="6"/>
        </w:numPr>
        <w:spacing w:line="240" w:lineRule="auto"/>
        <w:rPr>
          <w:rFonts w:ascii="Times New Roman" w:eastAsia="Times New Roman" w:hAnsi="Times New Roman"/>
          <w:b/>
        </w:rPr>
      </w:pPr>
      <w:r w:rsidRPr="0075481A">
        <w:rPr>
          <w:rFonts w:ascii="Times New Roman" w:eastAsia="Times New Roman" w:hAnsi="Times New Roman"/>
          <w:b/>
        </w:rPr>
        <w:t>Značajne računovodstvene prosudbe u primjeni računovodstvenih standarda</w:t>
      </w:r>
    </w:p>
    <w:p w14:paraId="5CE60476" w14:textId="77777777" w:rsidR="00631C11" w:rsidRPr="0075481A" w:rsidRDefault="00631C11" w:rsidP="00631C11">
      <w:pPr>
        <w:spacing w:after="0" w:line="240" w:lineRule="auto"/>
        <w:rPr>
          <w:rFonts w:ascii="Times New Roman" w:eastAsia="Times New Roman" w:hAnsi="Times New Roman" w:cs="Times New Roman"/>
          <w:bCs/>
        </w:rPr>
      </w:pPr>
    </w:p>
    <w:p w14:paraId="7F45FA15" w14:textId="77777777" w:rsidR="00631C11" w:rsidRPr="0075481A" w:rsidRDefault="00631C11" w:rsidP="00631C11">
      <w:pPr>
        <w:spacing w:after="0" w:line="240" w:lineRule="auto"/>
        <w:rPr>
          <w:rFonts w:ascii="Times New Roman" w:eastAsia="Times New Roman" w:hAnsi="Times New Roman" w:cs="Times New Roman"/>
          <w:bCs/>
        </w:rPr>
      </w:pPr>
      <w:r w:rsidRPr="0075481A">
        <w:rPr>
          <w:rFonts w:ascii="Times New Roman" w:eastAsia="Times New Roman" w:hAnsi="Times New Roman" w:cs="Times New Roman"/>
          <w:bCs/>
        </w:rPr>
        <w:t>Uprava vjeruje da nema nikakvih značajnih prosudbi i procjena koje je bilo potrebno iskazati u izvještajima</w:t>
      </w:r>
    </w:p>
    <w:p w14:paraId="3A97E1F4" w14:textId="77777777" w:rsidR="00631C11" w:rsidRPr="0075481A" w:rsidRDefault="00631C11" w:rsidP="00631C11">
      <w:pPr>
        <w:spacing w:after="0" w:line="240" w:lineRule="auto"/>
        <w:rPr>
          <w:rFonts w:ascii="Times New Roman" w:eastAsia="Times New Roman" w:hAnsi="Times New Roman" w:cs="Times New Roman"/>
          <w:bCs/>
        </w:rPr>
      </w:pPr>
    </w:p>
    <w:p w14:paraId="3F090264" w14:textId="77777777" w:rsidR="0045154E" w:rsidRDefault="0045154E" w:rsidP="00631C11">
      <w:pPr>
        <w:spacing w:after="0" w:line="240" w:lineRule="auto"/>
        <w:rPr>
          <w:rFonts w:ascii="Times New Roman" w:eastAsia="Times New Roman" w:hAnsi="Times New Roman" w:cs="Times New Roman"/>
          <w:b/>
        </w:rPr>
      </w:pPr>
    </w:p>
    <w:p w14:paraId="51BB7BE9" w14:textId="1F2E3D21" w:rsidR="00631C11" w:rsidRPr="0075481A" w:rsidRDefault="00631C11" w:rsidP="00631C11">
      <w:pPr>
        <w:spacing w:after="0" w:line="240" w:lineRule="auto"/>
        <w:rPr>
          <w:rFonts w:ascii="Times New Roman" w:eastAsia="Times New Roman" w:hAnsi="Times New Roman" w:cs="Times New Roman"/>
          <w:b/>
        </w:rPr>
      </w:pPr>
      <w:r w:rsidRPr="0075481A">
        <w:rPr>
          <w:rFonts w:ascii="Times New Roman" w:eastAsia="Times New Roman" w:hAnsi="Times New Roman" w:cs="Times New Roman"/>
          <w:b/>
        </w:rPr>
        <w:t xml:space="preserve">Bilješka </w:t>
      </w:r>
      <w:r w:rsidR="00C565D4">
        <w:rPr>
          <w:rFonts w:ascii="Times New Roman" w:eastAsia="Times New Roman" w:hAnsi="Times New Roman" w:cs="Times New Roman"/>
          <w:b/>
        </w:rPr>
        <w:t>29</w:t>
      </w:r>
      <w:r w:rsidRPr="0075481A">
        <w:rPr>
          <w:rFonts w:ascii="Times New Roman" w:eastAsia="Times New Roman" w:hAnsi="Times New Roman" w:cs="Times New Roman"/>
          <w:b/>
        </w:rPr>
        <w:t>.</w:t>
      </w:r>
      <w:r w:rsidRPr="0075481A">
        <w:rPr>
          <w:rFonts w:ascii="Times New Roman" w:eastAsia="Times New Roman" w:hAnsi="Times New Roman" w:cs="Times New Roman"/>
          <w:b/>
        </w:rPr>
        <w:tab/>
        <w:t xml:space="preserve">Događaji nakon datuma bilance </w:t>
      </w:r>
    </w:p>
    <w:p w14:paraId="208D6998" w14:textId="77777777" w:rsidR="00631C11" w:rsidRPr="0075481A" w:rsidRDefault="00631C11" w:rsidP="00631C11">
      <w:pPr>
        <w:spacing w:after="0" w:line="240" w:lineRule="auto"/>
        <w:jc w:val="both"/>
        <w:rPr>
          <w:rFonts w:ascii="Times New Roman" w:eastAsia="Times New Roman" w:hAnsi="Times New Roman" w:cs="Times New Roman"/>
          <w:b/>
        </w:rPr>
      </w:pPr>
    </w:p>
    <w:p w14:paraId="2AF06751" w14:textId="2131795A" w:rsidR="00D248B1" w:rsidRPr="0075481A" w:rsidRDefault="00D248B1" w:rsidP="00D248B1">
      <w:pPr>
        <w:spacing w:after="0" w:line="240" w:lineRule="auto"/>
        <w:jc w:val="both"/>
        <w:rPr>
          <w:rFonts w:ascii="Times New Roman" w:eastAsia="Calibri" w:hAnsi="Times New Roman" w:cs="Times New Roman"/>
        </w:rPr>
      </w:pPr>
      <w:r w:rsidRPr="0075481A">
        <w:rPr>
          <w:rFonts w:ascii="Times New Roman" w:eastAsia="Calibri" w:hAnsi="Times New Roman" w:cs="Times New Roman"/>
        </w:rPr>
        <w:t>Nakon datuma bilance nije bilo događaja koji bi značajno utjecali na godišnje financijske izvještaje Društva za 202</w:t>
      </w:r>
      <w:r w:rsidR="004D4AD1" w:rsidRPr="0075481A">
        <w:rPr>
          <w:rFonts w:ascii="Times New Roman" w:eastAsia="Calibri" w:hAnsi="Times New Roman" w:cs="Times New Roman"/>
        </w:rPr>
        <w:t>3</w:t>
      </w:r>
      <w:r w:rsidRPr="0075481A">
        <w:rPr>
          <w:rFonts w:ascii="Times New Roman" w:eastAsia="Calibri" w:hAnsi="Times New Roman" w:cs="Times New Roman"/>
        </w:rPr>
        <w:t>. godinu, koji bi, slijedom toga trebali biti objavljeni.</w:t>
      </w:r>
    </w:p>
    <w:p w14:paraId="63B86198" w14:textId="77777777" w:rsidR="00D248B1" w:rsidRPr="0075481A" w:rsidRDefault="00D248B1" w:rsidP="00D248B1">
      <w:pPr>
        <w:spacing w:after="0" w:line="240" w:lineRule="auto"/>
        <w:jc w:val="both"/>
        <w:rPr>
          <w:rFonts w:ascii="Times New Roman" w:eastAsia="Calibri" w:hAnsi="Times New Roman" w:cs="Times New Roman"/>
        </w:rPr>
      </w:pPr>
    </w:p>
    <w:p w14:paraId="74F2D90A" w14:textId="3067FC63" w:rsidR="00631C11" w:rsidRPr="0075481A" w:rsidRDefault="00631C11" w:rsidP="00631C11">
      <w:pPr>
        <w:jc w:val="both"/>
        <w:rPr>
          <w:rFonts w:ascii="Times New Roman" w:hAnsi="Times New Roman" w:cs="Times New Roman"/>
          <w:b/>
        </w:rPr>
      </w:pPr>
      <w:r w:rsidRPr="0075481A">
        <w:rPr>
          <w:rFonts w:ascii="Times New Roman" w:hAnsi="Times New Roman" w:cs="Times New Roman"/>
          <w:b/>
        </w:rPr>
        <w:t>Bilješka 3</w:t>
      </w:r>
      <w:r w:rsidR="00C565D4">
        <w:rPr>
          <w:rFonts w:ascii="Times New Roman" w:hAnsi="Times New Roman" w:cs="Times New Roman"/>
          <w:b/>
        </w:rPr>
        <w:t>0</w:t>
      </w:r>
      <w:r w:rsidRPr="0075481A">
        <w:rPr>
          <w:rFonts w:ascii="Times New Roman" w:hAnsi="Times New Roman" w:cs="Times New Roman"/>
          <w:b/>
        </w:rPr>
        <w:t>.</w:t>
      </w:r>
      <w:r w:rsidRPr="0075481A">
        <w:rPr>
          <w:rFonts w:ascii="Times New Roman" w:hAnsi="Times New Roman" w:cs="Times New Roman"/>
          <w:b/>
        </w:rPr>
        <w:tab/>
        <w:t>Sastavljanje i odobravanje financijskih izvještaja</w:t>
      </w:r>
    </w:p>
    <w:p w14:paraId="237D4B3F" w14:textId="2C546B63" w:rsidR="00631C11" w:rsidRPr="0075481A" w:rsidRDefault="00631C11" w:rsidP="00631C11">
      <w:pPr>
        <w:jc w:val="both"/>
        <w:rPr>
          <w:rFonts w:ascii="Times New Roman" w:hAnsi="Times New Roman" w:cs="Times New Roman"/>
        </w:rPr>
      </w:pPr>
      <w:r w:rsidRPr="0075481A">
        <w:rPr>
          <w:rFonts w:ascii="Times New Roman" w:hAnsi="Times New Roman" w:cs="Times New Roman"/>
        </w:rPr>
        <w:t>Uprava društva odgovorna je za sastavljanje i odobravanje financijskih izvještaja. Uprava društva odobrila je financijske izvještaje, dana 2</w:t>
      </w:r>
      <w:r w:rsidR="004D4AD1" w:rsidRPr="0075481A">
        <w:rPr>
          <w:rFonts w:ascii="Times New Roman" w:hAnsi="Times New Roman" w:cs="Times New Roman"/>
        </w:rPr>
        <w:t>8</w:t>
      </w:r>
      <w:r w:rsidRPr="0075481A">
        <w:rPr>
          <w:rFonts w:ascii="Times New Roman" w:hAnsi="Times New Roman" w:cs="Times New Roman"/>
        </w:rPr>
        <w:t>. lipnja 202</w:t>
      </w:r>
      <w:r w:rsidR="004D4AD1" w:rsidRPr="0075481A">
        <w:rPr>
          <w:rFonts w:ascii="Times New Roman" w:hAnsi="Times New Roman" w:cs="Times New Roman"/>
        </w:rPr>
        <w:t>4</w:t>
      </w:r>
      <w:r w:rsidRPr="0075481A">
        <w:rPr>
          <w:rFonts w:ascii="Times New Roman" w:hAnsi="Times New Roman" w:cs="Times New Roman"/>
        </w:rPr>
        <w:t>. godine.</w:t>
      </w:r>
    </w:p>
    <w:p w14:paraId="18BC780C" w14:textId="77777777" w:rsidR="00631C11" w:rsidRPr="0075481A" w:rsidRDefault="00631C11" w:rsidP="00631C11">
      <w:pPr>
        <w:spacing w:after="0" w:line="240" w:lineRule="auto"/>
        <w:rPr>
          <w:rFonts w:ascii="Times New Roman" w:eastAsia="Times New Roman" w:hAnsi="Times New Roman" w:cs="Times New Roman"/>
          <w:bCs/>
        </w:rPr>
      </w:pPr>
    </w:p>
    <w:p w14:paraId="2B8CCFD2" w14:textId="77777777" w:rsidR="00631C11" w:rsidRPr="0075481A" w:rsidRDefault="00631C11" w:rsidP="00131D13">
      <w:pPr>
        <w:spacing w:after="0" w:line="240" w:lineRule="auto"/>
        <w:jc w:val="both"/>
        <w:rPr>
          <w:rFonts w:ascii="Times New Roman" w:eastAsia="Times New Roman" w:hAnsi="Times New Roman" w:cs="Times New Roman"/>
        </w:rPr>
      </w:pPr>
    </w:p>
    <w:p w14:paraId="0AC9A6F9" w14:textId="77777777" w:rsidR="00131D13" w:rsidRPr="0075481A" w:rsidRDefault="00131D13" w:rsidP="00131D13">
      <w:pPr>
        <w:spacing w:after="0" w:line="240" w:lineRule="auto"/>
        <w:jc w:val="both"/>
        <w:rPr>
          <w:rFonts w:ascii="Times New Roman" w:eastAsia="Times New Roman" w:hAnsi="Times New Roman" w:cs="Times New Roman"/>
        </w:rPr>
      </w:pPr>
    </w:p>
    <w:p w14:paraId="1CC2D793" w14:textId="77777777" w:rsidR="00131D13" w:rsidRPr="0075481A" w:rsidRDefault="00131D13" w:rsidP="00131D13">
      <w:pPr>
        <w:spacing w:after="0" w:line="240" w:lineRule="auto"/>
        <w:jc w:val="both"/>
        <w:rPr>
          <w:rFonts w:ascii="Times New Roman" w:eastAsia="Times New Roman" w:hAnsi="Times New Roman" w:cs="Times New Roman"/>
        </w:rPr>
      </w:pPr>
    </w:p>
    <w:p w14:paraId="79D4DA5F" w14:textId="082CB592" w:rsidR="00131D13" w:rsidRPr="0075481A" w:rsidRDefault="00131D13" w:rsidP="00131D13">
      <w:pPr>
        <w:spacing w:after="0" w:line="240" w:lineRule="auto"/>
        <w:jc w:val="both"/>
        <w:rPr>
          <w:rFonts w:ascii="Times New Roman" w:eastAsia="Times New Roman" w:hAnsi="Times New Roman" w:cs="Times New Roman"/>
        </w:rPr>
      </w:pPr>
      <w:r w:rsidRPr="0075481A">
        <w:rPr>
          <w:rFonts w:ascii="Times New Roman" w:eastAsia="Times New Roman" w:hAnsi="Times New Roman" w:cs="Times New Roman"/>
        </w:rPr>
        <w:t>U Puli, 2</w:t>
      </w:r>
      <w:r w:rsidR="004D4AD1" w:rsidRPr="0075481A">
        <w:rPr>
          <w:rFonts w:ascii="Times New Roman" w:eastAsia="Times New Roman" w:hAnsi="Times New Roman" w:cs="Times New Roman"/>
        </w:rPr>
        <w:t>8</w:t>
      </w:r>
      <w:r w:rsidRPr="0075481A">
        <w:rPr>
          <w:rFonts w:ascii="Times New Roman" w:eastAsia="Times New Roman" w:hAnsi="Times New Roman" w:cs="Times New Roman"/>
        </w:rPr>
        <w:t>.06.20</w:t>
      </w:r>
      <w:r w:rsidR="000445AA" w:rsidRPr="0075481A">
        <w:rPr>
          <w:rFonts w:ascii="Times New Roman" w:eastAsia="Times New Roman" w:hAnsi="Times New Roman" w:cs="Times New Roman"/>
        </w:rPr>
        <w:t>2</w:t>
      </w:r>
      <w:r w:rsidR="004D4AD1" w:rsidRPr="0075481A">
        <w:rPr>
          <w:rFonts w:ascii="Times New Roman" w:eastAsia="Times New Roman" w:hAnsi="Times New Roman" w:cs="Times New Roman"/>
        </w:rPr>
        <w:t>4</w:t>
      </w:r>
      <w:r w:rsidRPr="0075481A">
        <w:rPr>
          <w:rFonts w:ascii="Times New Roman" w:eastAsia="Times New Roman" w:hAnsi="Times New Roman" w:cs="Times New Roman"/>
        </w:rPr>
        <w:t>.</w:t>
      </w:r>
    </w:p>
    <w:p w14:paraId="75CA62A6" w14:textId="77777777" w:rsidR="00131D13" w:rsidRPr="0075481A" w:rsidRDefault="00131D13" w:rsidP="00131D13">
      <w:pPr>
        <w:spacing w:after="0" w:line="240" w:lineRule="auto"/>
        <w:jc w:val="both"/>
        <w:rPr>
          <w:rFonts w:ascii="Times New Roman" w:eastAsia="Times New Roman" w:hAnsi="Times New Roman" w:cs="Times New Roman"/>
        </w:rPr>
      </w:pPr>
    </w:p>
    <w:p w14:paraId="18C8BCFB" w14:textId="77777777" w:rsidR="00131D13" w:rsidRPr="0075481A" w:rsidRDefault="00131D13" w:rsidP="00131D13">
      <w:pPr>
        <w:spacing w:after="0" w:line="240" w:lineRule="auto"/>
        <w:rPr>
          <w:rFonts w:ascii="Times New Roman" w:eastAsia="Times New Roman" w:hAnsi="Times New Roman" w:cs="Times New Roman"/>
          <w:lang w:val="en-US"/>
        </w:rPr>
      </w:pPr>
    </w:p>
    <w:p w14:paraId="6806A041" w14:textId="21B42CE3" w:rsidR="00131D13" w:rsidRPr="0075481A" w:rsidRDefault="00131D13" w:rsidP="00131D13">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Anita Bonašin</w:t>
      </w:r>
      <w:r w:rsidRPr="0075481A">
        <w:rPr>
          <w:rFonts w:ascii="Times New Roman" w:eastAsia="Times New Roman" w:hAnsi="Times New Roman" w:cs="Times New Roman"/>
        </w:rPr>
        <w:tab/>
      </w:r>
      <w:r w:rsidRPr="0075481A">
        <w:rPr>
          <w:rFonts w:ascii="Times New Roman" w:eastAsia="Times New Roman" w:hAnsi="Times New Roman" w:cs="Times New Roman"/>
        </w:rPr>
        <w:tab/>
      </w:r>
      <w:r w:rsidRPr="0075481A">
        <w:rPr>
          <w:rFonts w:ascii="Times New Roman" w:eastAsia="Times New Roman" w:hAnsi="Times New Roman" w:cs="Times New Roman"/>
        </w:rPr>
        <w:tab/>
      </w:r>
      <w:r w:rsidRPr="0075481A">
        <w:rPr>
          <w:rFonts w:ascii="Times New Roman" w:eastAsia="Times New Roman" w:hAnsi="Times New Roman" w:cs="Times New Roman"/>
        </w:rPr>
        <w:tab/>
      </w:r>
      <w:r w:rsidRPr="0075481A">
        <w:rPr>
          <w:rFonts w:ascii="Times New Roman" w:eastAsia="Times New Roman" w:hAnsi="Times New Roman" w:cs="Times New Roman"/>
        </w:rPr>
        <w:tab/>
      </w:r>
      <w:r w:rsidRPr="0075481A">
        <w:rPr>
          <w:rFonts w:ascii="Times New Roman" w:eastAsia="Times New Roman" w:hAnsi="Times New Roman" w:cs="Times New Roman"/>
        </w:rPr>
        <w:tab/>
      </w:r>
      <w:r w:rsidR="007B2FDE" w:rsidRPr="0075481A">
        <w:rPr>
          <w:rFonts w:ascii="Times New Roman" w:eastAsia="Times New Roman" w:hAnsi="Times New Roman" w:cs="Times New Roman"/>
        </w:rPr>
        <w:t>D</w:t>
      </w:r>
      <w:r w:rsidRPr="0075481A">
        <w:rPr>
          <w:rFonts w:ascii="Times New Roman" w:eastAsia="Times New Roman" w:hAnsi="Times New Roman" w:cs="Times New Roman"/>
        </w:rPr>
        <w:t>arko B</w:t>
      </w:r>
      <w:r w:rsidR="007B2FDE" w:rsidRPr="0075481A">
        <w:rPr>
          <w:rFonts w:ascii="Times New Roman" w:eastAsia="Times New Roman" w:hAnsi="Times New Roman" w:cs="Times New Roman"/>
        </w:rPr>
        <w:t xml:space="preserve">ijelić, </w:t>
      </w:r>
      <w:proofErr w:type="spellStart"/>
      <w:r w:rsidR="007B2FDE" w:rsidRPr="0075481A">
        <w:rPr>
          <w:rFonts w:ascii="Times New Roman" w:eastAsia="Times New Roman" w:hAnsi="Times New Roman" w:cs="Times New Roman"/>
        </w:rPr>
        <w:t>mag.oec</w:t>
      </w:r>
      <w:proofErr w:type="spellEnd"/>
      <w:r w:rsidR="007B2FDE" w:rsidRPr="0075481A">
        <w:rPr>
          <w:rFonts w:ascii="Times New Roman" w:eastAsia="Times New Roman" w:hAnsi="Times New Roman" w:cs="Times New Roman"/>
        </w:rPr>
        <w:t>., direktor</w:t>
      </w:r>
    </w:p>
    <w:p w14:paraId="613ECADB" w14:textId="4244409B" w:rsidR="00131D13" w:rsidRPr="0075481A" w:rsidRDefault="00131D13" w:rsidP="00131D13">
      <w:pPr>
        <w:spacing w:after="0" w:line="240" w:lineRule="auto"/>
        <w:rPr>
          <w:rFonts w:ascii="Times New Roman" w:eastAsia="Times New Roman" w:hAnsi="Times New Roman" w:cs="Times New Roman"/>
        </w:rPr>
      </w:pPr>
      <w:r w:rsidRPr="0075481A">
        <w:rPr>
          <w:rFonts w:ascii="Times New Roman" w:eastAsia="Times New Roman" w:hAnsi="Times New Roman" w:cs="Times New Roman"/>
        </w:rPr>
        <w:t xml:space="preserve">voditelj </w:t>
      </w:r>
      <w:r w:rsidR="00332B98" w:rsidRPr="0075481A">
        <w:rPr>
          <w:rFonts w:ascii="Times New Roman" w:eastAsia="Times New Roman" w:hAnsi="Times New Roman" w:cs="Times New Roman"/>
        </w:rPr>
        <w:t>financija</w:t>
      </w:r>
      <w:r w:rsidRPr="0075481A">
        <w:rPr>
          <w:rFonts w:ascii="Times New Roman" w:eastAsia="Times New Roman" w:hAnsi="Times New Roman" w:cs="Times New Roman"/>
        </w:rPr>
        <w:tab/>
      </w:r>
      <w:r w:rsidRPr="0075481A">
        <w:rPr>
          <w:rFonts w:ascii="Times New Roman" w:eastAsia="Times New Roman" w:hAnsi="Times New Roman" w:cs="Times New Roman"/>
        </w:rPr>
        <w:tab/>
      </w:r>
      <w:r w:rsidRPr="0075481A">
        <w:rPr>
          <w:rFonts w:ascii="Times New Roman" w:eastAsia="Times New Roman" w:hAnsi="Times New Roman" w:cs="Times New Roman"/>
        </w:rPr>
        <w:tab/>
        <w:t xml:space="preserve">     </w:t>
      </w:r>
    </w:p>
    <w:p w14:paraId="40F92D51" w14:textId="77777777" w:rsidR="00C0127B" w:rsidRPr="0075481A" w:rsidRDefault="00C0127B" w:rsidP="00131D13">
      <w:pPr>
        <w:spacing w:after="0" w:line="240" w:lineRule="auto"/>
        <w:rPr>
          <w:rFonts w:ascii="Times New Roman" w:eastAsia="Times New Roman" w:hAnsi="Times New Roman" w:cs="Times New Roman"/>
        </w:rPr>
      </w:pPr>
    </w:p>
    <w:p w14:paraId="324C5CA3" w14:textId="77777777" w:rsidR="00C0127B" w:rsidRPr="0075481A" w:rsidRDefault="00C0127B" w:rsidP="00131D13">
      <w:pPr>
        <w:spacing w:after="0" w:line="240" w:lineRule="auto"/>
        <w:rPr>
          <w:rFonts w:ascii="Times New Roman" w:eastAsia="Times New Roman" w:hAnsi="Times New Roman" w:cs="Times New Roman"/>
        </w:rPr>
      </w:pPr>
    </w:p>
    <w:p w14:paraId="368A9562" w14:textId="77777777" w:rsidR="00C0127B" w:rsidRPr="0075481A" w:rsidRDefault="00C0127B" w:rsidP="00131D13">
      <w:pPr>
        <w:spacing w:after="0" w:line="240" w:lineRule="auto"/>
        <w:rPr>
          <w:rFonts w:ascii="Times New Roman" w:eastAsia="Times New Roman" w:hAnsi="Times New Roman" w:cs="Times New Roman"/>
        </w:rPr>
      </w:pPr>
    </w:p>
    <w:p w14:paraId="7D91A4F8" w14:textId="77777777" w:rsidR="00C0127B" w:rsidRPr="0075481A" w:rsidRDefault="00C0127B" w:rsidP="00131D13">
      <w:pPr>
        <w:spacing w:after="0" w:line="240" w:lineRule="auto"/>
        <w:rPr>
          <w:rFonts w:ascii="Times New Roman" w:eastAsia="Times New Roman" w:hAnsi="Times New Roman" w:cs="Times New Roman"/>
        </w:rPr>
      </w:pPr>
    </w:p>
    <w:p w14:paraId="5772AC2A" w14:textId="77777777" w:rsidR="00C0127B" w:rsidRPr="0075481A" w:rsidRDefault="00C0127B" w:rsidP="00131D13">
      <w:pPr>
        <w:spacing w:after="0" w:line="240" w:lineRule="auto"/>
        <w:rPr>
          <w:rFonts w:ascii="Times New Roman" w:eastAsia="Times New Roman" w:hAnsi="Times New Roman" w:cs="Times New Roman"/>
        </w:rPr>
      </w:pPr>
    </w:p>
    <w:p w14:paraId="65439AA7" w14:textId="77777777" w:rsidR="00C0127B" w:rsidRPr="0075481A" w:rsidRDefault="00C0127B" w:rsidP="00131D13">
      <w:pPr>
        <w:spacing w:after="0" w:line="240" w:lineRule="auto"/>
        <w:rPr>
          <w:rFonts w:ascii="Times New Roman" w:eastAsia="Times New Roman" w:hAnsi="Times New Roman" w:cs="Times New Roman"/>
        </w:rPr>
      </w:pPr>
    </w:p>
    <w:p w14:paraId="5E30F4BA" w14:textId="43232CAD" w:rsidR="005364B4" w:rsidRPr="00C323D2" w:rsidRDefault="0031315D" w:rsidP="00F5210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15</w:t>
      </w:r>
    </w:p>
    <w:sectPr w:rsidR="005364B4" w:rsidRPr="00C323D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E628C" w14:textId="77777777" w:rsidR="009C3610" w:rsidRDefault="009C3610" w:rsidP="008062B7">
      <w:pPr>
        <w:spacing w:after="0" w:line="240" w:lineRule="auto"/>
      </w:pPr>
      <w:r>
        <w:separator/>
      </w:r>
    </w:p>
  </w:endnote>
  <w:endnote w:type="continuationSeparator" w:id="0">
    <w:p w14:paraId="6594DB25" w14:textId="77777777" w:rsidR="009C3610" w:rsidRDefault="009C3610" w:rsidP="0080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75864" w14:textId="77777777" w:rsidR="009C3610" w:rsidRDefault="009C3610" w:rsidP="008062B7">
      <w:pPr>
        <w:spacing w:after="0" w:line="240" w:lineRule="auto"/>
      </w:pPr>
      <w:r>
        <w:separator/>
      </w:r>
    </w:p>
  </w:footnote>
  <w:footnote w:type="continuationSeparator" w:id="0">
    <w:p w14:paraId="45E3141F" w14:textId="77777777" w:rsidR="009C3610" w:rsidRDefault="009C3610" w:rsidP="00806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eetkatablice2"/>
      <w:tblW w:w="91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6390"/>
      <w:gridCol w:w="1530"/>
    </w:tblGrid>
    <w:tr w:rsidR="00A81432" w:rsidRPr="00A81432" w14:paraId="0B39936B" w14:textId="77777777" w:rsidTr="00D80B39">
      <w:trPr>
        <w:trHeight w:val="1250"/>
      </w:trPr>
      <w:tc>
        <w:tcPr>
          <w:tcW w:w="1260" w:type="dxa"/>
        </w:tcPr>
        <w:p w14:paraId="76070336" w14:textId="77777777" w:rsidR="00A81432" w:rsidRPr="00A81432" w:rsidRDefault="00A81432" w:rsidP="00A81432">
          <w:pPr>
            <w:tabs>
              <w:tab w:val="center" w:pos="4536"/>
              <w:tab w:val="right" w:pos="9072"/>
            </w:tabs>
            <w:rPr>
              <w:rFonts w:ascii="Times New Roman" w:hAnsi="Times New Roman"/>
              <w:sz w:val="16"/>
              <w:szCs w:val="16"/>
            </w:rPr>
          </w:pPr>
          <w:r w:rsidRPr="00A81432">
            <w:rPr>
              <w:rFonts w:ascii="Times New Roman" w:hAnsi="Times New Roman"/>
              <w:noProof/>
              <w:sz w:val="18"/>
              <w:szCs w:val="18"/>
            </w:rPr>
            <w:drawing>
              <wp:inline distT="0" distB="0" distL="0" distR="0" wp14:anchorId="3AD933FB" wp14:editId="39AC024B">
                <wp:extent cx="390603" cy="525294"/>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b_rh_2_crvena_bijela_polja.jpeg"/>
                        <pic:cNvPicPr/>
                      </pic:nvPicPr>
                      <pic:blipFill>
                        <a:blip r:embed="rId1">
                          <a:extLst>
                            <a:ext uri="{28A0092B-C50C-407E-A947-70E740481C1C}">
                              <a14:useLocalDpi xmlns:a14="http://schemas.microsoft.com/office/drawing/2010/main" val="0"/>
                            </a:ext>
                          </a:extLst>
                        </a:blip>
                        <a:stretch>
                          <a:fillRect/>
                        </a:stretch>
                      </pic:blipFill>
                      <pic:spPr>
                        <a:xfrm>
                          <a:off x="0" y="0"/>
                          <a:ext cx="390603" cy="525294"/>
                        </a:xfrm>
                        <a:prstGeom prst="rect">
                          <a:avLst/>
                        </a:prstGeom>
                      </pic:spPr>
                    </pic:pic>
                  </a:graphicData>
                </a:graphic>
              </wp:inline>
            </w:drawing>
          </w:r>
          <w:r w:rsidRPr="00A81432">
            <w:rPr>
              <w:rFonts w:ascii="Times New Roman" w:hAnsi="Times New Roman"/>
            </w:rPr>
            <w:br/>
          </w:r>
          <w:r w:rsidRPr="00A81432">
            <w:rPr>
              <w:rFonts w:ascii="Times New Roman" w:hAnsi="Times New Roman"/>
              <w:sz w:val="18"/>
              <w:szCs w:val="18"/>
            </w:rPr>
            <w:t xml:space="preserve"> </w:t>
          </w:r>
          <w:r w:rsidRPr="00A81432">
            <w:rPr>
              <w:rFonts w:ascii="Times New Roman" w:hAnsi="Times New Roman"/>
              <w:sz w:val="16"/>
              <w:szCs w:val="16"/>
            </w:rPr>
            <w:t>REPUBLIKA</w:t>
          </w:r>
        </w:p>
        <w:p w14:paraId="06133112" w14:textId="77777777" w:rsidR="00A81432" w:rsidRPr="00A81432" w:rsidRDefault="00A81432" w:rsidP="00A81432">
          <w:pPr>
            <w:tabs>
              <w:tab w:val="center" w:pos="4536"/>
              <w:tab w:val="right" w:pos="9072"/>
            </w:tabs>
            <w:jc w:val="center"/>
            <w:rPr>
              <w:rFonts w:ascii="Times New Roman" w:hAnsi="Times New Roman"/>
              <w:sz w:val="18"/>
              <w:szCs w:val="18"/>
            </w:rPr>
          </w:pPr>
          <w:r w:rsidRPr="00A81432">
            <w:rPr>
              <w:rFonts w:ascii="Times New Roman" w:hAnsi="Times New Roman"/>
              <w:sz w:val="16"/>
              <w:szCs w:val="16"/>
            </w:rPr>
            <w:t>HRVATSKA</w:t>
          </w:r>
        </w:p>
      </w:tc>
      <w:tc>
        <w:tcPr>
          <w:tcW w:w="6390" w:type="dxa"/>
        </w:tcPr>
        <w:p w14:paraId="294E3C28" w14:textId="77777777" w:rsidR="00A81432" w:rsidRPr="00A81432" w:rsidRDefault="00A81432" w:rsidP="00A81432">
          <w:pPr>
            <w:tabs>
              <w:tab w:val="center" w:pos="4536"/>
              <w:tab w:val="right" w:pos="9072"/>
            </w:tabs>
            <w:jc w:val="center"/>
            <w:rPr>
              <w:rFonts w:ascii="Times New Roman" w:hAnsi="Times New Roman"/>
              <w:sz w:val="18"/>
              <w:szCs w:val="18"/>
            </w:rPr>
          </w:pPr>
          <w:r w:rsidRPr="00A81432">
            <w:rPr>
              <w:noProof/>
            </w:rPr>
            <w:drawing>
              <wp:inline distT="0" distB="0" distL="0" distR="0" wp14:anchorId="16E0D67C" wp14:editId="4A91015A">
                <wp:extent cx="3073941" cy="7687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_hor_rgb (2).png"/>
                        <pic:cNvPicPr/>
                      </pic:nvPicPr>
                      <pic:blipFill>
                        <a:blip r:embed="rId2">
                          <a:extLst>
                            <a:ext uri="{28A0092B-C50C-407E-A947-70E740481C1C}">
                              <a14:useLocalDpi xmlns:a14="http://schemas.microsoft.com/office/drawing/2010/main" val="0"/>
                            </a:ext>
                          </a:extLst>
                        </a:blip>
                        <a:stretch>
                          <a:fillRect/>
                        </a:stretch>
                      </pic:blipFill>
                      <pic:spPr>
                        <a:xfrm>
                          <a:off x="0" y="0"/>
                          <a:ext cx="3106783" cy="776947"/>
                        </a:xfrm>
                        <a:prstGeom prst="rect">
                          <a:avLst/>
                        </a:prstGeom>
                      </pic:spPr>
                    </pic:pic>
                  </a:graphicData>
                </a:graphic>
              </wp:inline>
            </w:drawing>
          </w:r>
        </w:p>
        <w:p w14:paraId="3966A259" w14:textId="77777777" w:rsidR="00A81432" w:rsidRPr="00A81432" w:rsidRDefault="00A81432" w:rsidP="00A81432">
          <w:pPr>
            <w:tabs>
              <w:tab w:val="center" w:pos="4536"/>
              <w:tab w:val="right" w:pos="9072"/>
            </w:tabs>
            <w:rPr>
              <w:rFonts w:ascii="Times New Roman" w:hAnsi="Times New Roman"/>
              <w:sz w:val="18"/>
              <w:szCs w:val="18"/>
            </w:rPr>
          </w:pPr>
        </w:p>
      </w:tc>
      <w:tc>
        <w:tcPr>
          <w:tcW w:w="1530" w:type="dxa"/>
        </w:tcPr>
        <w:p w14:paraId="316F05AD" w14:textId="77777777" w:rsidR="00A81432" w:rsidRPr="00A81432" w:rsidRDefault="00A81432" w:rsidP="00A81432">
          <w:pPr>
            <w:tabs>
              <w:tab w:val="center" w:pos="4536"/>
              <w:tab w:val="right" w:pos="9072"/>
            </w:tabs>
            <w:rPr>
              <w:rFonts w:ascii="Times New Roman" w:hAnsi="Times New Roman"/>
              <w:sz w:val="18"/>
              <w:szCs w:val="18"/>
            </w:rPr>
          </w:pPr>
          <w:r w:rsidRPr="00A81432">
            <w:rPr>
              <w:rFonts w:ascii="Times New Roman" w:hAnsi="Times New Roman"/>
              <w:noProof/>
            </w:rPr>
            <w:drawing>
              <wp:inline distT="0" distB="0" distL="0" distR="0" wp14:anchorId="37EDBD47" wp14:editId="36830FA1">
                <wp:extent cx="887163" cy="497475"/>
                <wp:effectExtent l="0" t="0" r="1905" b="0"/>
                <wp:docPr id="1" name="Slika 1" descr="CroCert-IQNet-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Cert-IQNet-9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758" cy="517435"/>
                        </a:xfrm>
                        <a:prstGeom prst="rect">
                          <a:avLst/>
                        </a:prstGeom>
                        <a:noFill/>
                        <a:ln>
                          <a:noFill/>
                        </a:ln>
                      </pic:spPr>
                    </pic:pic>
                  </a:graphicData>
                </a:graphic>
              </wp:inline>
            </w:drawing>
          </w:r>
        </w:p>
      </w:tc>
    </w:tr>
  </w:tbl>
  <w:p w14:paraId="60E2FD43" w14:textId="77777777" w:rsidR="00A81432" w:rsidRDefault="00A81432">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4D9"/>
    <w:multiLevelType w:val="hybridMultilevel"/>
    <w:tmpl w:val="6EFAD586"/>
    <w:lvl w:ilvl="0" w:tplc="0CF8DA9A">
      <w:start w:val="1"/>
      <w:numFmt w:val="bullet"/>
      <w:lvlText w:val=""/>
      <w:lvlJc w:val="left"/>
      <w:pPr>
        <w:tabs>
          <w:tab w:val="num" w:pos="720"/>
        </w:tabs>
        <w:ind w:left="720" w:hanging="360"/>
      </w:pPr>
      <w:rPr>
        <w:rFonts w:ascii="Symbol" w:hAnsi="Symbol" w:hint="default"/>
      </w:rPr>
    </w:lvl>
    <w:lvl w:ilvl="1" w:tplc="11BCCC9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45090"/>
    <w:multiLevelType w:val="hybridMultilevel"/>
    <w:tmpl w:val="F32EEE72"/>
    <w:lvl w:ilvl="0" w:tplc="041A0005">
      <w:start w:val="1"/>
      <w:numFmt w:val="bullet"/>
      <w:lvlText w:val=""/>
      <w:lvlJc w:val="left"/>
      <w:pPr>
        <w:ind w:left="1065" w:hanging="360"/>
      </w:pPr>
      <w:rPr>
        <w:rFonts w:ascii="Wingdings" w:hAnsi="Wingdings"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2" w15:restartNumberingAfterBreak="0">
    <w:nsid w:val="392623DA"/>
    <w:multiLevelType w:val="hybridMultilevel"/>
    <w:tmpl w:val="FA9859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882D5B"/>
    <w:multiLevelType w:val="hybridMultilevel"/>
    <w:tmpl w:val="940404EA"/>
    <w:lvl w:ilvl="0" w:tplc="041A0005">
      <w:start w:val="1"/>
      <w:numFmt w:val="bullet"/>
      <w:lvlText w:val=""/>
      <w:lvlJc w:val="left"/>
      <w:pPr>
        <w:ind w:left="1350" w:hanging="360"/>
      </w:pPr>
      <w:rPr>
        <w:rFonts w:ascii="Wingdings" w:hAnsi="Wingdings"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4" w15:restartNumberingAfterBreak="0">
    <w:nsid w:val="442621A0"/>
    <w:multiLevelType w:val="hybridMultilevel"/>
    <w:tmpl w:val="715EC6E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DC94BDC"/>
    <w:multiLevelType w:val="hybridMultilevel"/>
    <w:tmpl w:val="305CA9E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DF"/>
    <w:rsid w:val="00007736"/>
    <w:rsid w:val="000079D3"/>
    <w:rsid w:val="00033B9F"/>
    <w:rsid w:val="000344A0"/>
    <w:rsid w:val="000445AA"/>
    <w:rsid w:val="00047D3E"/>
    <w:rsid w:val="00057239"/>
    <w:rsid w:val="00081D6F"/>
    <w:rsid w:val="00087B30"/>
    <w:rsid w:val="00091B99"/>
    <w:rsid w:val="0009210D"/>
    <w:rsid w:val="000C27FB"/>
    <w:rsid w:val="000E4286"/>
    <w:rsid w:val="00121D32"/>
    <w:rsid w:val="00125755"/>
    <w:rsid w:val="001265C7"/>
    <w:rsid w:val="00131D13"/>
    <w:rsid w:val="0013432E"/>
    <w:rsid w:val="00137795"/>
    <w:rsid w:val="0014648D"/>
    <w:rsid w:val="00166B3C"/>
    <w:rsid w:val="001806A2"/>
    <w:rsid w:val="001812DD"/>
    <w:rsid w:val="001947C1"/>
    <w:rsid w:val="001958C5"/>
    <w:rsid w:val="001A70A3"/>
    <w:rsid w:val="001B4644"/>
    <w:rsid w:val="001C4F6E"/>
    <w:rsid w:val="001D58F7"/>
    <w:rsid w:val="001E3AA2"/>
    <w:rsid w:val="001F6005"/>
    <w:rsid w:val="00206F57"/>
    <w:rsid w:val="0021603E"/>
    <w:rsid w:val="002235D2"/>
    <w:rsid w:val="00247559"/>
    <w:rsid w:val="002A1944"/>
    <w:rsid w:val="002D0286"/>
    <w:rsid w:val="002E2E43"/>
    <w:rsid w:val="002E7078"/>
    <w:rsid w:val="00304251"/>
    <w:rsid w:val="0031315D"/>
    <w:rsid w:val="0031581C"/>
    <w:rsid w:val="003159C9"/>
    <w:rsid w:val="00332B98"/>
    <w:rsid w:val="00341ECD"/>
    <w:rsid w:val="003501AD"/>
    <w:rsid w:val="003812D5"/>
    <w:rsid w:val="003836CF"/>
    <w:rsid w:val="003B04D6"/>
    <w:rsid w:val="003B0D9E"/>
    <w:rsid w:val="003B4497"/>
    <w:rsid w:val="003B47C0"/>
    <w:rsid w:val="003C5F17"/>
    <w:rsid w:val="003C6929"/>
    <w:rsid w:val="003D38A6"/>
    <w:rsid w:val="003D5478"/>
    <w:rsid w:val="003E28E9"/>
    <w:rsid w:val="003E5ED0"/>
    <w:rsid w:val="003F00A7"/>
    <w:rsid w:val="003F7176"/>
    <w:rsid w:val="00410C07"/>
    <w:rsid w:val="00410CF5"/>
    <w:rsid w:val="00414D44"/>
    <w:rsid w:val="004200EE"/>
    <w:rsid w:val="00422B5C"/>
    <w:rsid w:val="00422B81"/>
    <w:rsid w:val="00435DB6"/>
    <w:rsid w:val="0045154E"/>
    <w:rsid w:val="00462641"/>
    <w:rsid w:val="004702BB"/>
    <w:rsid w:val="004709B1"/>
    <w:rsid w:val="00480C2D"/>
    <w:rsid w:val="00485D29"/>
    <w:rsid w:val="00497674"/>
    <w:rsid w:val="004A7418"/>
    <w:rsid w:val="004B1E30"/>
    <w:rsid w:val="004D4AD1"/>
    <w:rsid w:val="004F5FD4"/>
    <w:rsid w:val="004F61CA"/>
    <w:rsid w:val="004F6409"/>
    <w:rsid w:val="004F6845"/>
    <w:rsid w:val="00504466"/>
    <w:rsid w:val="005364B4"/>
    <w:rsid w:val="00550527"/>
    <w:rsid w:val="00552C89"/>
    <w:rsid w:val="00561296"/>
    <w:rsid w:val="00565EE1"/>
    <w:rsid w:val="005708B4"/>
    <w:rsid w:val="00572307"/>
    <w:rsid w:val="00590D4A"/>
    <w:rsid w:val="00597818"/>
    <w:rsid w:val="005C28C4"/>
    <w:rsid w:val="005D4A93"/>
    <w:rsid w:val="005E6397"/>
    <w:rsid w:val="005F4013"/>
    <w:rsid w:val="006005B4"/>
    <w:rsid w:val="006103BC"/>
    <w:rsid w:val="006105D4"/>
    <w:rsid w:val="00631C11"/>
    <w:rsid w:val="006343EF"/>
    <w:rsid w:val="00644F61"/>
    <w:rsid w:val="00653ADA"/>
    <w:rsid w:val="00665E67"/>
    <w:rsid w:val="006665A4"/>
    <w:rsid w:val="00674870"/>
    <w:rsid w:val="006801E2"/>
    <w:rsid w:val="0068611A"/>
    <w:rsid w:val="006944E3"/>
    <w:rsid w:val="006B51F5"/>
    <w:rsid w:val="006B5481"/>
    <w:rsid w:val="006C19E1"/>
    <w:rsid w:val="006C7F9A"/>
    <w:rsid w:val="006E2405"/>
    <w:rsid w:val="00706623"/>
    <w:rsid w:val="00710F54"/>
    <w:rsid w:val="00713578"/>
    <w:rsid w:val="00720E1E"/>
    <w:rsid w:val="00737D64"/>
    <w:rsid w:val="00743D71"/>
    <w:rsid w:val="00745881"/>
    <w:rsid w:val="0075481A"/>
    <w:rsid w:val="00763305"/>
    <w:rsid w:val="00781326"/>
    <w:rsid w:val="00784290"/>
    <w:rsid w:val="0078665F"/>
    <w:rsid w:val="007A7CCE"/>
    <w:rsid w:val="007B2FDE"/>
    <w:rsid w:val="007C7504"/>
    <w:rsid w:val="007E4B82"/>
    <w:rsid w:val="007F0F03"/>
    <w:rsid w:val="00803BE9"/>
    <w:rsid w:val="008062B7"/>
    <w:rsid w:val="0082278B"/>
    <w:rsid w:val="008246E5"/>
    <w:rsid w:val="00837BA3"/>
    <w:rsid w:val="00840BCC"/>
    <w:rsid w:val="008421D6"/>
    <w:rsid w:val="00851B24"/>
    <w:rsid w:val="00856895"/>
    <w:rsid w:val="00863EA5"/>
    <w:rsid w:val="00866994"/>
    <w:rsid w:val="00866DB9"/>
    <w:rsid w:val="008675AD"/>
    <w:rsid w:val="00892AB0"/>
    <w:rsid w:val="008A645B"/>
    <w:rsid w:val="008B01DF"/>
    <w:rsid w:val="008B768E"/>
    <w:rsid w:val="008C1B1B"/>
    <w:rsid w:val="008D39DB"/>
    <w:rsid w:val="008E28D9"/>
    <w:rsid w:val="008E7491"/>
    <w:rsid w:val="008F3E44"/>
    <w:rsid w:val="008F4CEA"/>
    <w:rsid w:val="00901991"/>
    <w:rsid w:val="00904D55"/>
    <w:rsid w:val="00915671"/>
    <w:rsid w:val="0091732B"/>
    <w:rsid w:val="00917AF2"/>
    <w:rsid w:val="009276D2"/>
    <w:rsid w:val="00941C67"/>
    <w:rsid w:val="00942C48"/>
    <w:rsid w:val="00953448"/>
    <w:rsid w:val="0095424B"/>
    <w:rsid w:val="00967CB2"/>
    <w:rsid w:val="009712D2"/>
    <w:rsid w:val="00981512"/>
    <w:rsid w:val="009845E6"/>
    <w:rsid w:val="00984ACB"/>
    <w:rsid w:val="0098513F"/>
    <w:rsid w:val="009A7393"/>
    <w:rsid w:val="009B6467"/>
    <w:rsid w:val="009C35D5"/>
    <w:rsid w:val="009C3610"/>
    <w:rsid w:val="009D451E"/>
    <w:rsid w:val="009E5FAE"/>
    <w:rsid w:val="009F7755"/>
    <w:rsid w:val="00A16F70"/>
    <w:rsid w:val="00A41FA8"/>
    <w:rsid w:val="00A53DE9"/>
    <w:rsid w:val="00A5532D"/>
    <w:rsid w:val="00A60465"/>
    <w:rsid w:val="00A64CAE"/>
    <w:rsid w:val="00A660AE"/>
    <w:rsid w:val="00A7073A"/>
    <w:rsid w:val="00A81432"/>
    <w:rsid w:val="00A841B9"/>
    <w:rsid w:val="00AA324E"/>
    <w:rsid w:val="00AE7CC8"/>
    <w:rsid w:val="00B34D9D"/>
    <w:rsid w:val="00B40BCA"/>
    <w:rsid w:val="00B52607"/>
    <w:rsid w:val="00B64A98"/>
    <w:rsid w:val="00B70133"/>
    <w:rsid w:val="00B8213B"/>
    <w:rsid w:val="00B835F3"/>
    <w:rsid w:val="00BA10AD"/>
    <w:rsid w:val="00BA6E46"/>
    <w:rsid w:val="00BB29DA"/>
    <w:rsid w:val="00BB5090"/>
    <w:rsid w:val="00BC426C"/>
    <w:rsid w:val="00BD32E1"/>
    <w:rsid w:val="00BD3A54"/>
    <w:rsid w:val="00BD423B"/>
    <w:rsid w:val="00BE40A4"/>
    <w:rsid w:val="00BF36A8"/>
    <w:rsid w:val="00BF79DF"/>
    <w:rsid w:val="00C0127B"/>
    <w:rsid w:val="00C106B6"/>
    <w:rsid w:val="00C32249"/>
    <w:rsid w:val="00C323D2"/>
    <w:rsid w:val="00C327EE"/>
    <w:rsid w:val="00C328C8"/>
    <w:rsid w:val="00C358A3"/>
    <w:rsid w:val="00C565D4"/>
    <w:rsid w:val="00C5768A"/>
    <w:rsid w:val="00C74384"/>
    <w:rsid w:val="00C75693"/>
    <w:rsid w:val="00C80C1F"/>
    <w:rsid w:val="00C80C72"/>
    <w:rsid w:val="00C92746"/>
    <w:rsid w:val="00CA42C6"/>
    <w:rsid w:val="00CC1B3E"/>
    <w:rsid w:val="00D248B1"/>
    <w:rsid w:val="00D33D16"/>
    <w:rsid w:val="00D40935"/>
    <w:rsid w:val="00D7490A"/>
    <w:rsid w:val="00D811F4"/>
    <w:rsid w:val="00D92014"/>
    <w:rsid w:val="00D93121"/>
    <w:rsid w:val="00DA52E1"/>
    <w:rsid w:val="00DA6237"/>
    <w:rsid w:val="00DB5243"/>
    <w:rsid w:val="00DC50CD"/>
    <w:rsid w:val="00DD4396"/>
    <w:rsid w:val="00DD66F6"/>
    <w:rsid w:val="00DE0D72"/>
    <w:rsid w:val="00DE35C7"/>
    <w:rsid w:val="00DE6F26"/>
    <w:rsid w:val="00DE7202"/>
    <w:rsid w:val="00DF4EAF"/>
    <w:rsid w:val="00DF7601"/>
    <w:rsid w:val="00E01A24"/>
    <w:rsid w:val="00E412A4"/>
    <w:rsid w:val="00E5153C"/>
    <w:rsid w:val="00E57841"/>
    <w:rsid w:val="00E57B75"/>
    <w:rsid w:val="00E62DAD"/>
    <w:rsid w:val="00E81CB2"/>
    <w:rsid w:val="00E869BE"/>
    <w:rsid w:val="00E91571"/>
    <w:rsid w:val="00E955F2"/>
    <w:rsid w:val="00EB3EEA"/>
    <w:rsid w:val="00EC17A3"/>
    <w:rsid w:val="00EC1BFE"/>
    <w:rsid w:val="00ED0FF2"/>
    <w:rsid w:val="00ED1CAD"/>
    <w:rsid w:val="00ED3DBB"/>
    <w:rsid w:val="00ED4AED"/>
    <w:rsid w:val="00EE1161"/>
    <w:rsid w:val="00EE50BF"/>
    <w:rsid w:val="00EF070D"/>
    <w:rsid w:val="00F23061"/>
    <w:rsid w:val="00F342AB"/>
    <w:rsid w:val="00F3713F"/>
    <w:rsid w:val="00F42FCB"/>
    <w:rsid w:val="00F43F97"/>
    <w:rsid w:val="00F45625"/>
    <w:rsid w:val="00F5210A"/>
    <w:rsid w:val="00F75C09"/>
    <w:rsid w:val="00F8166F"/>
    <w:rsid w:val="00F85FA9"/>
    <w:rsid w:val="00F8743D"/>
    <w:rsid w:val="00F911F9"/>
    <w:rsid w:val="00F91772"/>
    <w:rsid w:val="00FB18B1"/>
    <w:rsid w:val="00FC0CDC"/>
    <w:rsid w:val="00FC1E12"/>
    <w:rsid w:val="00FD2DB5"/>
    <w:rsid w:val="00FD7D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9FF43"/>
  <w15:chartTrackingRefBased/>
  <w15:docId w15:val="{1DC5A6E8-0C70-491F-BBBC-1D85ED6C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8F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131D1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31D13"/>
    <w:pPr>
      <w:spacing w:after="0" w:line="276" w:lineRule="auto"/>
      <w:ind w:left="720"/>
      <w:contextualSpacing/>
    </w:pPr>
    <w:rPr>
      <w:rFonts w:ascii="Calibri" w:eastAsia="Calibri" w:hAnsi="Calibri" w:cs="Times New Roman"/>
    </w:rPr>
  </w:style>
  <w:style w:type="paragraph" w:styleId="Zaglavlje">
    <w:name w:val="header"/>
    <w:basedOn w:val="Normal"/>
    <w:link w:val="ZaglavljeChar"/>
    <w:uiPriority w:val="99"/>
    <w:unhideWhenUsed/>
    <w:rsid w:val="008062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62B7"/>
  </w:style>
  <w:style w:type="paragraph" w:styleId="Podnoje">
    <w:name w:val="footer"/>
    <w:basedOn w:val="Normal"/>
    <w:link w:val="PodnojeChar"/>
    <w:uiPriority w:val="99"/>
    <w:unhideWhenUsed/>
    <w:rsid w:val="008062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62B7"/>
  </w:style>
  <w:style w:type="paragraph" w:styleId="Tekstbalonia">
    <w:name w:val="Balloon Text"/>
    <w:basedOn w:val="Normal"/>
    <w:link w:val="TekstbaloniaChar"/>
    <w:uiPriority w:val="99"/>
    <w:semiHidden/>
    <w:unhideWhenUsed/>
    <w:rsid w:val="00A707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7073A"/>
    <w:rPr>
      <w:rFonts w:ascii="Segoe UI" w:hAnsi="Segoe UI" w:cs="Segoe UI"/>
      <w:sz w:val="18"/>
      <w:szCs w:val="18"/>
    </w:rPr>
  </w:style>
  <w:style w:type="table" w:customStyle="1" w:styleId="Reetkatablice1">
    <w:name w:val="Rešetka tablice1"/>
    <w:basedOn w:val="Obinatablica"/>
    <w:next w:val="Reetkatablice"/>
    <w:uiPriority w:val="39"/>
    <w:rsid w:val="00A8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4-isticanje3">
    <w:name w:val="Grid Table 4 Accent 3"/>
    <w:basedOn w:val="Obinatablica"/>
    <w:uiPriority w:val="49"/>
    <w:rsid w:val="0074588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Svijetlatablicareetke1">
    <w:name w:val="Grid Table 1 Light"/>
    <w:basedOn w:val="Obinatablica"/>
    <w:uiPriority w:val="46"/>
    <w:rsid w:val="001343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icareetke2-isticanje3">
    <w:name w:val="Grid Table 2 Accent 3"/>
    <w:basedOn w:val="Obinatablica"/>
    <w:uiPriority w:val="47"/>
    <w:rsid w:val="0013432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reetke2-isticanje4">
    <w:name w:val="Grid Table 2 Accent 4"/>
    <w:basedOn w:val="Obinatablica"/>
    <w:uiPriority w:val="47"/>
    <w:rsid w:val="00665E6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icareetke3-isticanje2">
    <w:name w:val="Grid Table 3 Accent 2"/>
    <w:basedOn w:val="Obinatablica"/>
    <w:uiPriority w:val="48"/>
    <w:rsid w:val="00665E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icareetke3">
    <w:name w:val="Grid Table 3"/>
    <w:basedOn w:val="Obinatablica"/>
    <w:uiPriority w:val="48"/>
    <w:rsid w:val="00665E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Svijetlatablicareetke1-isticanje2">
    <w:name w:val="Grid Table 1 Light Accent 3"/>
    <w:basedOn w:val="Obinatablica"/>
    <w:uiPriority w:val="46"/>
    <w:rsid w:val="007633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Odlomakpopisa2">
    <w:name w:val="Odlomak popisa2"/>
    <w:basedOn w:val="Normal"/>
    <w:qFormat/>
    <w:rsid w:val="009B6467"/>
    <w:pPr>
      <w:spacing w:after="0" w:line="276" w:lineRule="auto"/>
      <w:ind w:left="720"/>
      <w:contextualSpacing/>
    </w:pPr>
    <w:rPr>
      <w:rFonts w:ascii="Calibri" w:eastAsia="Times New Roman" w:hAnsi="Calibri" w:cs="Times New Roman"/>
    </w:rPr>
  </w:style>
  <w:style w:type="table" w:customStyle="1" w:styleId="Reetkatablice2">
    <w:name w:val="Rešetka tablice2"/>
    <w:basedOn w:val="Obinatablica"/>
    <w:next w:val="Reetkatablice"/>
    <w:uiPriority w:val="39"/>
    <w:rsid w:val="00A8143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3481">
      <w:bodyDiv w:val="1"/>
      <w:marLeft w:val="0"/>
      <w:marRight w:val="0"/>
      <w:marTop w:val="0"/>
      <w:marBottom w:val="0"/>
      <w:divBdr>
        <w:top w:val="none" w:sz="0" w:space="0" w:color="auto"/>
        <w:left w:val="none" w:sz="0" w:space="0" w:color="auto"/>
        <w:bottom w:val="none" w:sz="0" w:space="0" w:color="auto"/>
        <w:right w:val="none" w:sz="0" w:space="0" w:color="auto"/>
      </w:divBdr>
    </w:div>
    <w:div w:id="13718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3ECE-BC9A-45D6-8BAE-2CE70B1D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15</Pages>
  <Words>4602</Words>
  <Characters>26237</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28</cp:revision>
  <cp:lastPrinted>2024-06-28T14:13:00Z</cp:lastPrinted>
  <dcterms:created xsi:type="dcterms:W3CDTF">2024-06-26T13:19:00Z</dcterms:created>
  <dcterms:modified xsi:type="dcterms:W3CDTF">2024-06-28T14:14:00Z</dcterms:modified>
</cp:coreProperties>
</file>