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77D8" w14:textId="44BD17D3" w:rsidR="00131D13" w:rsidRDefault="00131D13" w:rsidP="00131D13">
      <w:pPr>
        <w:spacing w:after="0" w:line="240" w:lineRule="auto"/>
        <w:rPr>
          <w:rFonts w:ascii="Times New Roman" w:eastAsia="Times New Roman" w:hAnsi="Times New Roman" w:cs="Times New Roman"/>
          <w:b/>
          <w:sz w:val="24"/>
          <w:szCs w:val="24"/>
        </w:rPr>
      </w:pPr>
    </w:p>
    <w:p w14:paraId="0328C3BD" w14:textId="77777777" w:rsidR="00131D13" w:rsidRDefault="00131D13" w:rsidP="00131D13">
      <w:pPr>
        <w:spacing w:after="0" w:line="240" w:lineRule="auto"/>
        <w:rPr>
          <w:rFonts w:ascii="Times New Roman" w:eastAsia="Times New Roman" w:hAnsi="Times New Roman" w:cs="Times New Roman"/>
          <w:b/>
          <w:sz w:val="24"/>
          <w:szCs w:val="24"/>
        </w:rPr>
      </w:pPr>
    </w:p>
    <w:p w14:paraId="4DE9DAF6"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MONTE GIRO d.o.o. Pula</w:t>
      </w:r>
    </w:p>
    <w:p w14:paraId="1F81FD24" w14:textId="77777777" w:rsidR="00131D13" w:rsidRPr="009C7409" w:rsidRDefault="00131D13" w:rsidP="00131D13">
      <w:pPr>
        <w:spacing w:after="0" w:line="240" w:lineRule="auto"/>
        <w:rPr>
          <w:rFonts w:ascii="Times New Roman" w:eastAsia="Times New Roman" w:hAnsi="Times New Roman" w:cs="Times New Roman"/>
          <w:b/>
          <w:sz w:val="24"/>
          <w:szCs w:val="24"/>
        </w:rPr>
      </w:pPr>
      <w:proofErr w:type="spellStart"/>
      <w:r w:rsidRPr="009C7409">
        <w:rPr>
          <w:rFonts w:ascii="Times New Roman" w:eastAsia="Times New Roman" w:hAnsi="Times New Roman" w:cs="Times New Roman"/>
          <w:b/>
          <w:sz w:val="24"/>
          <w:szCs w:val="24"/>
        </w:rPr>
        <w:t>Kumičićeva</w:t>
      </w:r>
      <w:proofErr w:type="spellEnd"/>
      <w:r w:rsidRPr="009C7409">
        <w:rPr>
          <w:rFonts w:ascii="Times New Roman" w:eastAsia="Times New Roman" w:hAnsi="Times New Roman" w:cs="Times New Roman"/>
          <w:b/>
          <w:sz w:val="24"/>
          <w:szCs w:val="24"/>
        </w:rPr>
        <w:t xml:space="preserve"> 22</w:t>
      </w:r>
    </w:p>
    <w:p w14:paraId="58D91C87"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52100 Pula</w:t>
      </w:r>
    </w:p>
    <w:p w14:paraId="1C2847B4"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MBS  040013925</w:t>
      </w:r>
    </w:p>
    <w:p w14:paraId="50538401"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OIB 68652112489</w:t>
      </w:r>
    </w:p>
    <w:p w14:paraId="2EFBFC5F" w14:textId="77777777" w:rsidR="00131D13" w:rsidRPr="009C7409" w:rsidRDefault="00131D13" w:rsidP="00131D13">
      <w:pPr>
        <w:spacing w:after="0" w:line="240" w:lineRule="auto"/>
        <w:jc w:val="center"/>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Bilješke uz financijske izvještaje</w:t>
      </w:r>
    </w:p>
    <w:p w14:paraId="140D9278" w14:textId="2EA6B864" w:rsidR="00131D13" w:rsidRPr="009C7409" w:rsidRDefault="00131D13" w:rsidP="00131D13">
      <w:pPr>
        <w:spacing w:after="0" w:line="240" w:lineRule="auto"/>
        <w:jc w:val="center"/>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za 20</w:t>
      </w:r>
      <w:r w:rsidR="001806A2">
        <w:rPr>
          <w:rFonts w:ascii="Times New Roman" w:eastAsia="Times New Roman" w:hAnsi="Times New Roman" w:cs="Times New Roman"/>
          <w:b/>
          <w:sz w:val="24"/>
          <w:szCs w:val="24"/>
        </w:rPr>
        <w:t>2</w:t>
      </w:r>
      <w:r w:rsidR="00040C22">
        <w:rPr>
          <w:rFonts w:ascii="Times New Roman" w:eastAsia="Times New Roman" w:hAnsi="Times New Roman" w:cs="Times New Roman"/>
          <w:b/>
          <w:sz w:val="24"/>
          <w:szCs w:val="24"/>
        </w:rPr>
        <w:t>4</w:t>
      </w:r>
      <w:r w:rsidR="001806A2">
        <w:rPr>
          <w:rFonts w:ascii="Times New Roman" w:eastAsia="Times New Roman" w:hAnsi="Times New Roman" w:cs="Times New Roman"/>
          <w:b/>
          <w:sz w:val="24"/>
          <w:szCs w:val="24"/>
        </w:rPr>
        <w:t>.</w:t>
      </w:r>
      <w:r w:rsidRPr="009C7409">
        <w:rPr>
          <w:rFonts w:ascii="Times New Roman" w:eastAsia="Times New Roman" w:hAnsi="Times New Roman" w:cs="Times New Roman"/>
          <w:b/>
          <w:sz w:val="24"/>
          <w:szCs w:val="24"/>
        </w:rPr>
        <w:t xml:space="preserve"> godinu</w:t>
      </w:r>
    </w:p>
    <w:p w14:paraId="67B8C3C8" w14:textId="77777777" w:rsidR="00131D13" w:rsidRPr="009C7409" w:rsidRDefault="00131D13" w:rsidP="00131D13">
      <w:pPr>
        <w:spacing w:after="0" w:line="240" w:lineRule="auto"/>
        <w:jc w:val="center"/>
        <w:rPr>
          <w:rFonts w:ascii="Times New Roman" w:eastAsia="Times New Roman" w:hAnsi="Times New Roman" w:cs="Times New Roman"/>
          <w:b/>
          <w:sz w:val="24"/>
          <w:szCs w:val="24"/>
        </w:rPr>
      </w:pPr>
    </w:p>
    <w:p w14:paraId="363BC6B8" w14:textId="77777777" w:rsidR="00131D13" w:rsidRPr="00F22DFE" w:rsidRDefault="00131D13" w:rsidP="00131D13">
      <w:pPr>
        <w:spacing w:after="0" w:line="240" w:lineRule="auto"/>
        <w:rPr>
          <w:rFonts w:ascii="Times New Roman" w:eastAsia="Times New Roman" w:hAnsi="Times New Roman" w:cs="Times New Roman"/>
          <w:b/>
        </w:rPr>
      </w:pPr>
      <w:r w:rsidRPr="00F22DFE">
        <w:rPr>
          <w:rFonts w:ascii="Times New Roman" w:eastAsia="Times New Roman" w:hAnsi="Times New Roman" w:cs="Times New Roman"/>
          <w:b/>
        </w:rPr>
        <w:t>Općenito</w:t>
      </w:r>
    </w:p>
    <w:p w14:paraId="2E434C5F"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MONTE GIRO, društvo s ograničenom odgovornošću Pula upisano je u sudski registar Trgovačkog suda u Rijeci stalna služba Pazin. Jedini osnivač društva je Grad Pula.</w:t>
      </w:r>
    </w:p>
    <w:p w14:paraId="66D5B5F2" w14:textId="77777777" w:rsidR="00131D13" w:rsidRPr="00F22DFE" w:rsidRDefault="00131D13" w:rsidP="00131D13">
      <w:pPr>
        <w:keepNext/>
        <w:shd w:val="clear" w:color="auto" w:fill="F8F8F8"/>
        <w:spacing w:before="240" w:after="75" w:line="240" w:lineRule="auto"/>
        <w:outlineLvl w:val="1"/>
        <w:rPr>
          <w:rFonts w:ascii="Times New Roman" w:eastAsia="Times New Roman" w:hAnsi="Times New Roman" w:cs="Times New Roman"/>
          <w:bCs/>
          <w:iCs/>
          <w:lang w:eastAsia="hr-HR"/>
        </w:rPr>
      </w:pPr>
      <w:r w:rsidRPr="00F22DFE">
        <w:rPr>
          <w:rFonts w:ascii="Times New Roman" w:eastAsia="Times New Roman" w:hAnsi="Times New Roman" w:cs="Times New Roman"/>
          <w:bCs/>
          <w:iCs/>
          <w:lang w:eastAsia="hr-HR"/>
        </w:rPr>
        <w:t>Predmet poslovanja - pogrebne i srodne djelatnosti:</w:t>
      </w:r>
    </w:p>
    <w:p w14:paraId="2FB1F229"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upravljanje grobljima na području grada Pule</w:t>
      </w:r>
    </w:p>
    <w:p w14:paraId="58A3E24A"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održavanje groblja i krematorija, prostora i zgrada te drugih pratećih objekata za obavljanje ispraćaja i sahrane pokojnika, te ukop i kremiranje pokojnika</w:t>
      </w:r>
    </w:p>
    <w:p w14:paraId="222D1118"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obavljanje pogrebnih poslova - preuzimanje, opremanje i prijevoz pokojnika/umrle osobe od mjesta smrti do mrtvačnice ili krematorija</w:t>
      </w:r>
    </w:p>
    <w:p w14:paraId="35F581E3"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proizvodno-prerađivačke djelatnosti:</w:t>
      </w:r>
    </w:p>
    <w:p w14:paraId="2684B5D6"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izrada grobnica, nadgrobnih spomenika i ukrasnih predmeta, njihova montaža i demontaža, oblaganje grobnica kamenom i sl.</w:t>
      </w:r>
    </w:p>
    <w:p w14:paraId="4C409A73"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proizvodnja cvijeća i sadnica, izrada ukrasnih aranžmana od svježeg i umjetnog cvijeća, vijenaca, buketa i </w:t>
      </w:r>
      <w:proofErr w:type="spellStart"/>
      <w:r w:rsidRPr="00F22DFE">
        <w:rPr>
          <w:rFonts w:ascii="Times New Roman" w:eastAsia="Times New Roman" w:hAnsi="Times New Roman" w:cs="Times New Roman"/>
        </w:rPr>
        <w:t>sl</w:t>
      </w:r>
      <w:proofErr w:type="spellEnd"/>
    </w:p>
    <w:p w14:paraId="65720118"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izrada drvenih i metalnih kovčega za umrle osobe</w:t>
      </w:r>
    </w:p>
    <w:p w14:paraId="61A0F552"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trgovina na malo proizvodima namijenjenim preuzimanju, opremanju, prijevozu i ukopu umrlih osoba (vijenci i drugi cvjetni aranžmani, sanduci za pokojnike, odjeća, obuća, lončanice, svijeće, vaze i </w:t>
      </w:r>
      <w:proofErr w:type="spellStart"/>
      <w:r w:rsidRPr="00F22DFE">
        <w:rPr>
          <w:rFonts w:ascii="Times New Roman" w:eastAsia="Times New Roman" w:hAnsi="Times New Roman" w:cs="Times New Roman"/>
        </w:rPr>
        <w:t>sl</w:t>
      </w:r>
      <w:proofErr w:type="spellEnd"/>
    </w:p>
    <w:p w14:paraId="76F03170"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prijevoz putnika i tereta u unutarnjem i međunarodnom cestovnom prometu (prijevoz umrlih osoba i njihovih obitelji, opreme za ukop i sl.), i prijevoz za vlastite potrebe</w:t>
      </w:r>
    </w:p>
    <w:p w14:paraId="77A5900B"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djelatnost skupljanja, prijevoza, posredovanja u organiziranju uporabe, zbrinjavanja, odnosno gospodarenje posebnim kategorijama otpada, uvoz i izvoz otpada.</w:t>
      </w:r>
    </w:p>
    <w:p w14:paraId="2593E7AA"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Članovi Nadzornog odbora su:</w:t>
      </w:r>
    </w:p>
    <w:p w14:paraId="362B2D5D" w14:textId="77777777" w:rsidR="00131D13" w:rsidRPr="00F22DFE" w:rsidRDefault="00131D13" w:rsidP="00131D13">
      <w:pPr>
        <w:spacing w:after="0" w:line="240" w:lineRule="auto"/>
        <w:rPr>
          <w:rFonts w:ascii="Times New Roman" w:eastAsia="Times New Roman" w:hAnsi="Times New Roman" w:cs="Times New Roman"/>
        </w:rPr>
      </w:pPr>
    </w:p>
    <w:p w14:paraId="6F1863B9" w14:textId="58C36EA3" w:rsidR="00E5153C" w:rsidRDefault="00E5153C"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Antonela Diminić iz Pule, predsjednik </w:t>
      </w:r>
    </w:p>
    <w:p w14:paraId="373514DF" w14:textId="5C783D34" w:rsidR="00E5153C" w:rsidRPr="00F22DFE" w:rsidRDefault="00E5153C"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Ivo Jelenaca iz Pule, zamjenik predsjednika Nadzornog odbora </w:t>
      </w:r>
    </w:p>
    <w:p w14:paraId="7AEF5230" w14:textId="0EFC8D18" w:rsidR="00E81CB2" w:rsidRDefault="00E81CB2"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Martinčić Lorena iz Pule član Nadzornog odbora </w:t>
      </w:r>
    </w:p>
    <w:p w14:paraId="3B9BDEEC" w14:textId="012019EC" w:rsidR="00E81CB2" w:rsidRDefault="00E81CB2" w:rsidP="00E81CB2">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Osoba ovlaštena za zastupanje:</w:t>
      </w:r>
      <w:r>
        <w:rPr>
          <w:rFonts w:ascii="Times New Roman" w:eastAsia="Times New Roman" w:hAnsi="Times New Roman" w:cs="Times New Roman"/>
        </w:rPr>
        <w:t xml:space="preserve"> </w:t>
      </w:r>
      <w:r w:rsidRPr="00F22DFE">
        <w:rPr>
          <w:rFonts w:ascii="Times New Roman" w:eastAsia="Times New Roman" w:hAnsi="Times New Roman" w:cs="Times New Roman"/>
        </w:rPr>
        <w:t>Darko B</w:t>
      </w:r>
      <w:r>
        <w:rPr>
          <w:rFonts w:ascii="Times New Roman" w:eastAsia="Times New Roman" w:hAnsi="Times New Roman" w:cs="Times New Roman"/>
        </w:rPr>
        <w:t>ijelić</w:t>
      </w:r>
      <w:r w:rsidRPr="00F22DFE">
        <w:rPr>
          <w:rFonts w:ascii="Times New Roman" w:eastAsia="Times New Roman" w:hAnsi="Times New Roman" w:cs="Times New Roman"/>
        </w:rPr>
        <w:t>, direktor</w:t>
      </w:r>
      <w:r>
        <w:rPr>
          <w:rFonts w:ascii="Times New Roman" w:eastAsia="Times New Roman" w:hAnsi="Times New Roman" w:cs="Times New Roman"/>
        </w:rPr>
        <w:t xml:space="preserve"> </w:t>
      </w:r>
    </w:p>
    <w:p w14:paraId="63D348C7" w14:textId="77777777" w:rsidR="00E81CB2" w:rsidRPr="00F22DFE" w:rsidRDefault="00E81CB2" w:rsidP="00131D13">
      <w:pPr>
        <w:spacing w:after="0" w:line="240" w:lineRule="auto"/>
        <w:rPr>
          <w:rFonts w:ascii="Times New Roman" w:eastAsia="Times New Roman" w:hAnsi="Times New Roman" w:cs="Times New Roman"/>
        </w:rPr>
      </w:pPr>
    </w:p>
    <w:p w14:paraId="1E7B283F" w14:textId="77777777" w:rsidR="00131D13" w:rsidRPr="00F22DFE" w:rsidRDefault="00131D13" w:rsidP="00131D13">
      <w:pPr>
        <w:spacing w:after="0" w:line="240" w:lineRule="auto"/>
        <w:rPr>
          <w:rFonts w:ascii="Times New Roman" w:eastAsia="Times New Roman" w:hAnsi="Times New Roman" w:cs="Times New Roman"/>
        </w:rPr>
      </w:pPr>
    </w:p>
    <w:p w14:paraId="75C3B188" w14:textId="26B5D10A"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Tijekom razdoblja na temelju sati rada</w:t>
      </w:r>
      <w:r w:rsidR="0031581C">
        <w:rPr>
          <w:rFonts w:ascii="Times New Roman" w:eastAsia="Times New Roman" w:hAnsi="Times New Roman" w:cs="Times New Roman"/>
        </w:rPr>
        <w:t xml:space="preserve"> u </w:t>
      </w:r>
      <w:r w:rsidR="00E81CB2">
        <w:rPr>
          <w:rFonts w:ascii="Times New Roman" w:eastAsia="Times New Roman" w:hAnsi="Times New Roman" w:cs="Times New Roman"/>
        </w:rPr>
        <w:t>2</w:t>
      </w:r>
      <w:r w:rsidR="00CA42C6">
        <w:rPr>
          <w:rFonts w:ascii="Times New Roman" w:eastAsia="Times New Roman" w:hAnsi="Times New Roman" w:cs="Times New Roman"/>
        </w:rPr>
        <w:t>02</w:t>
      </w:r>
      <w:r w:rsidR="00040C22">
        <w:rPr>
          <w:rFonts w:ascii="Times New Roman" w:eastAsia="Times New Roman" w:hAnsi="Times New Roman" w:cs="Times New Roman"/>
        </w:rPr>
        <w:t>4</w:t>
      </w:r>
      <w:r w:rsidR="00CA42C6">
        <w:rPr>
          <w:rFonts w:ascii="Times New Roman" w:eastAsia="Times New Roman" w:hAnsi="Times New Roman" w:cs="Times New Roman"/>
        </w:rPr>
        <w:t>.</w:t>
      </w:r>
      <w:r w:rsidR="0031581C">
        <w:rPr>
          <w:rFonts w:ascii="Times New Roman" w:eastAsia="Times New Roman" w:hAnsi="Times New Roman" w:cs="Times New Roman"/>
        </w:rPr>
        <w:t xml:space="preserve"> godini</w:t>
      </w:r>
      <w:r w:rsidRPr="00F22DFE">
        <w:rPr>
          <w:rFonts w:ascii="Times New Roman" w:eastAsia="Times New Roman" w:hAnsi="Times New Roman" w:cs="Times New Roman"/>
        </w:rPr>
        <w:t>, Društvo je prosječno zapošljavalo 3</w:t>
      </w:r>
      <w:r w:rsidR="00040C22">
        <w:rPr>
          <w:rFonts w:ascii="Times New Roman" w:eastAsia="Times New Roman" w:hAnsi="Times New Roman" w:cs="Times New Roman"/>
        </w:rPr>
        <w:t>3</w:t>
      </w:r>
      <w:r w:rsidRPr="00F22DFE">
        <w:rPr>
          <w:rFonts w:ascii="Times New Roman" w:eastAsia="Times New Roman" w:hAnsi="Times New Roman" w:cs="Times New Roman"/>
        </w:rPr>
        <w:t xml:space="preserve"> radnika.</w:t>
      </w:r>
    </w:p>
    <w:p w14:paraId="6F7E9488" w14:textId="1ED02AAF"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Društvo se temeljem pokazatelja na dan 31.12.20</w:t>
      </w:r>
      <w:r w:rsidR="0014648D">
        <w:rPr>
          <w:rFonts w:ascii="Times New Roman" w:eastAsia="Times New Roman" w:hAnsi="Times New Roman" w:cs="Times New Roman"/>
        </w:rPr>
        <w:t>2</w:t>
      </w:r>
      <w:r w:rsidR="00040C22">
        <w:rPr>
          <w:rFonts w:ascii="Times New Roman" w:eastAsia="Times New Roman" w:hAnsi="Times New Roman" w:cs="Times New Roman"/>
        </w:rPr>
        <w:t>4</w:t>
      </w:r>
      <w:r w:rsidRPr="00F22DFE">
        <w:rPr>
          <w:rFonts w:ascii="Times New Roman" w:eastAsia="Times New Roman" w:hAnsi="Times New Roman" w:cs="Times New Roman"/>
        </w:rPr>
        <w:t>. razvrstalo kao mali poduzetnik.</w:t>
      </w:r>
    </w:p>
    <w:p w14:paraId="6615156C" w14:textId="77777777" w:rsidR="00131D13" w:rsidRPr="00F22DFE" w:rsidRDefault="00131D13" w:rsidP="00131D13">
      <w:pPr>
        <w:spacing w:after="0" w:line="240" w:lineRule="auto"/>
        <w:rPr>
          <w:rFonts w:ascii="Times New Roman" w:eastAsia="Times New Roman" w:hAnsi="Times New Roman" w:cs="Times New Roman"/>
        </w:rPr>
      </w:pPr>
    </w:p>
    <w:p w14:paraId="51E3BF5A" w14:textId="77777777" w:rsidR="00131D13" w:rsidRPr="00F22DFE" w:rsidRDefault="00131D13" w:rsidP="00131D13">
      <w:pPr>
        <w:spacing w:after="0" w:line="240" w:lineRule="auto"/>
        <w:rPr>
          <w:rFonts w:ascii="Times New Roman" w:eastAsia="Times New Roman" w:hAnsi="Times New Roman" w:cs="Times New Roman"/>
        </w:rPr>
      </w:pPr>
    </w:p>
    <w:p w14:paraId="2930C7D9" w14:textId="77777777" w:rsidR="00131D13" w:rsidRDefault="00131D13" w:rsidP="00131D13">
      <w:pPr>
        <w:spacing w:after="0" w:line="240" w:lineRule="auto"/>
        <w:rPr>
          <w:rFonts w:ascii="Times New Roman" w:eastAsia="Times New Roman" w:hAnsi="Times New Roman" w:cs="Times New Roman"/>
        </w:rPr>
      </w:pPr>
    </w:p>
    <w:p w14:paraId="18FBBB19" w14:textId="77777777" w:rsidR="004B1E30" w:rsidRDefault="004B1E30" w:rsidP="00131D13">
      <w:pPr>
        <w:spacing w:after="0" w:line="240" w:lineRule="auto"/>
        <w:rPr>
          <w:rFonts w:ascii="Times New Roman" w:eastAsia="Times New Roman" w:hAnsi="Times New Roman" w:cs="Times New Roman"/>
        </w:rPr>
      </w:pPr>
    </w:p>
    <w:p w14:paraId="0C455DF7" w14:textId="77777777" w:rsidR="004B1E30" w:rsidRPr="00F22DFE" w:rsidRDefault="004B1E30" w:rsidP="00131D13">
      <w:pPr>
        <w:spacing w:after="0" w:line="240" w:lineRule="auto"/>
        <w:rPr>
          <w:rFonts w:ascii="Times New Roman" w:eastAsia="Times New Roman" w:hAnsi="Times New Roman" w:cs="Times New Roman"/>
        </w:rPr>
      </w:pPr>
    </w:p>
    <w:p w14:paraId="4F6F95BD" w14:textId="77777777" w:rsidR="00131D13" w:rsidRPr="00F22DFE" w:rsidRDefault="00131D13" w:rsidP="00131D13">
      <w:pPr>
        <w:spacing w:after="0" w:line="240" w:lineRule="auto"/>
        <w:jc w:val="both"/>
        <w:rPr>
          <w:rFonts w:ascii="Times New Roman" w:eastAsia="Times New Roman" w:hAnsi="Times New Roman" w:cs="Times New Roman"/>
          <w:b/>
        </w:rPr>
      </w:pPr>
    </w:p>
    <w:p w14:paraId="5CFB6E3A" w14:textId="77777777" w:rsidR="00A81432" w:rsidRDefault="00A81432" w:rsidP="00131D13">
      <w:pPr>
        <w:spacing w:after="0" w:line="240" w:lineRule="auto"/>
        <w:jc w:val="both"/>
        <w:rPr>
          <w:rFonts w:ascii="Times New Roman" w:eastAsia="Times New Roman" w:hAnsi="Times New Roman" w:cs="Times New Roman"/>
          <w:b/>
        </w:rPr>
      </w:pPr>
    </w:p>
    <w:p w14:paraId="759C7B66"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lastRenderedPageBreak/>
        <w:t xml:space="preserve">Bilješka 1. </w:t>
      </w:r>
      <w:r w:rsidRPr="00F22DFE">
        <w:rPr>
          <w:rFonts w:ascii="Times New Roman" w:eastAsia="Times New Roman" w:hAnsi="Times New Roman" w:cs="Times New Roman"/>
          <w:b/>
        </w:rPr>
        <w:tab/>
        <w:t>Temelj za prezentiranje financijskih izvještaja</w:t>
      </w:r>
    </w:p>
    <w:p w14:paraId="0F3701B4" w14:textId="77777777" w:rsidR="00131D13" w:rsidRPr="00F22DFE" w:rsidRDefault="00131D13" w:rsidP="00131D13">
      <w:pPr>
        <w:spacing w:after="0" w:line="240" w:lineRule="auto"/>
        <w:ind w:left="360"/>
        <w:jc w:val="both"/>
        <w:rPr>
          <w:rFonts w:ascii="Times New Roman" w:eastAsia="Times New Roman" w:hAnsi="Times New Roman" w:cs="Times New Roman"/>
          <w:b/>
        </w:rPr>
      </w:pPr>
    </w:p>
    <w:p w14:paraId="4C48FD6E" w14:textId="77777777" w:rsidR="00131D13" w:rsidRPr="00F22DFE" w:rsidRDefault="00131D13" w:rsidP="00131D13">
      <w:pPr>
        <w:spacing w:after="0" w:line="240" w:lineRule="auto"/>
        <w:ind w:left="360"/>
        <w:jc w:val="both"/>
        <w:rPr>
          <w:rFonts w:ascii="Times New Roman" w:eastAsia="Times New Roman" w:hAnsi="Times New Roman" w:cs="Times New Roman"/>
          <w:b/>
        </w:rPr>
      </w:pPr>
      <w:r w:rsidRPr="00F22DFE">
        <w:rPr>
          <w:rFonts w:ascii="Times New Roman" w:eastAsia="Times New Roman" w:hAnsi="Times New Roman" w:cs="Times New Roman"/>
          <w:b/>
        </w:rPr>
        <w:t>1.1. Usklađenost sa standardima</w:t>
      </w:r>
    </w:p>
    <w:p w14:paraId="272F30CA" w14:textId="77777777" w:rsidR="00131D13" w:rsidRPr="00F22DFE" w:rsidRDefault="00131D13" w:rsidP="00131D13">
      <w:pPr>
        <w:spacing w:after="0" w:line="240" w:lineRule="auto"/>
        <w:ind w:left="360"/>
        <w:jc w:val="both"/>
        <w:rPr>
          <w:rFonts w:ascii="Times New Roman" w:eastAsia="Times New Roman" w:hAnsi="Times New Roman" w:cs="Times New Roman"/>
          <w:b/>
        </w:rPr>
      </w:pPr>
    </w:p>
    <w:p w14:paraId="586F8854" w14:textId="60DFF01C"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Temeljni financijski izvještaji sastavljeni su u skladu sa Hrvatskim standardima financijskog izvještavanja, koje je objavio Odbor za standarde financijskog izvješćivanja objavljenim u NN br. 86/15.,</w:t>
      </w:r>
      <w:r w:rsidR="003D38A6">
        <w:rPr>
          <w:rFonts w:ascii="Times New Roman" w:eastAsia="Times New Roman" w:hAnsi="Times New Roman" w:cs="Times New Roman"/>
        </w:rPr>
        <w:t xml:space="preserve"> 105/20</w:t>
      </w:r>
      <w:r w:rsidRPr="00F22DFE">
        <w:rPr>
          <w:rFonts w:ascii="Times New Roman" w:eastAsia="Times New Roman" w:hAnsi="Times New Roman" w:cs="Times New Roman"/>
        </w:rPr>
        <w:t xml:space="preserve"> </w:t>
      </w:r>
      <w:r w:rsidR="003D38A6">
        <w:rPr>
          <w:rFonts w:ascii="Times New Roman" w:eastAsia="Times New Roman" w:hAnsi="Times New Roman" w:cs="Times New Roman"/>
        </w:rPr>
        <w:t xml:space="preserve">i 19/21 </w:t>
      </w:r>
      <w:r w:rsidRPr="00F22DFE">
        <w:rPr>
          <w:rFonts w:ascii="Times New Roman" w:eastAsia="Times New Roman" w:hAnsi="Times New Roman" w:cs="Times New Roman"/>
        </w:rPr>
        <w:t>propisanim kao okvirom financijskog izvještavanja  temeljem odredbi Zakona o računovodstvu NN 78/15,</w:t>
      </w:r>
      <w:r w:rsidR="00ED1CAD">
        <w:rPr>
          <w:rFonts w:ascii="Times New Roman" w:eastAsia="Times New Roman" w:hAnsi="Times New Roman" w:cs="Times New Roman"/>
        </w:rPr>
        <w:t xml:space="preserve"> 134/15, 120/16, 116/18, 42/20, 47/20, 114/22 i 82/23,</w:t>
      </w:r>
      <w:r w:rsidRPr="00F22DFE">
        <w:rPr>
          <w:rFonts w:ascii="Times New Roman" w:eastAsia="Times New Roman" w:hAnsi="Times New Roman" w:cs="Times New Roman"/>
        </w:rPr>
        <w:t xml:space="preserve">  </w:t>
      </w:r>
      <w:r w:rsidR="002235D2" w:rsidRPr="00F22DFE">
        <w:rPr>
          <w:rFonts w:ascii="Times New Roman" w:eastAsia="Times New Roman" w:hAnsi="Times New Roman" w:cs="Times New Roman"/>
        </w:rPr>
        <w:t>Uredba 134/15</w:t>
      </w:r>
      <w:r w:rsidR="002235D2">
        <w:rPr>
          <w:rFonts w:ascii="Times New Roman" w:eastAsia="Times New Roman" w:hAnsi="Times New Roman" w:cs="Times New Roman"/>
        </w:rPr>
        <w:t xml:space="preserve">, 120/16 i </w:t>
      </w:r>
      <w:r w:rsidRPr="00F22DFE">
        <w:rPr>
          <w:rFonts w:ascii="Times New Roman" w:eastAsia="Times New Roman" w:hAnsi="Times New Roman" w:cs="Times New Roman"/>
        </w:rPr>
        <w:t>116/18</w:t>
      </w:r>
      <w:r w:rsidR="002235D2">
        <w:rPr>
          <w:rFonts w:ascii="Times New Roman" w:eastAsia="Times New Roman" w:hAnsi="Times New Roman" w:cs="Times New Roman"/>
        </w:rPr>
        <w:t>.</w:t>
      </w:r>
    </w:p>
    <w:p w14:paraId="49CDDB47"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Financijski izvještaji </w:t>
      </w:r>
      <w:r w:rsidR="006801E2">
        <w:rPr>
          <w:rFonts w:ascii="Times New Roman" w:eastAsia="Times New Roman" w:hAnsi="Times New Roman" w:cs="Times New Roman"/>
        </w:rPr>
        <w:t>sastavljeni su u skladu s temeljnim računovodstvenim načelima: neograničenosti vremena poslovanja, nastanka poslovnog događaja, značajnosti, dosljednosti, usporedivosti, opreznosti i bilančnog kontinuiteta</w:t>
      </w:r>
      <w:r w:rsidRPr="00F22DFE">
        <w:rPr>
          <w:rFonts w:ascii="Times New Roman" w:eastAsia="Times New Roman" w:hAnsi="Times New Roman" w:cs="Times New Roman"/>
        </w:rPr>
        <w:t xml:space="preserve">. Detaljna objašnjenja priznavanja pojedinačnih pozicija dana su u sklopu pojedinačne pozicije. </w:t>
      </w:r>
    </w:p>
    <w:p w14:paraId="796207AF" w14:textId="77777777" w:rsidR="00131D13" w:rsidRPr="00F22DFE" w:rsidRDefault="00131D13" w:rsidP="00131D13">
      <w:pPr>
        <w:spacing w:after="0" w:line="240" w:lineRule="auto"/>
        <w:jc w:val="both"/>
        <w:rPr>
          <w:rFonts w:ascii="Times New Roman" w:eastAsia="Times New Roman" w:hAnsi="Times New Roman" w:cs="Times New Roman"/>
          <w:b/>
        </w:rPr>
      </w:pPr>
    </w:p>
    <w:p w14:paraId="4C275F3B" w14:textId="6CE35447" w:rsidR="00131D13" w:rsidRPr="00F22DFE" w:rsidRDefault="00131D13" w:rsidP="00131D13">
      <w:pPr>
        <w:spacing w:after="0" w:line="240" w:lineRule="auto"/>
        <w:ind w:firstLine="426"/>
        <w:jc w:val="both"/>
        <w:rPr>
          <w:rFonts w:ascii="Times New Roman" w:eastAsia="Times New Roman" w:hAnsi="Times New Roman" w:cs="Times New Roman"/>
        </w:rPr>
      </w:pPr>
      <w:r w:rsidRPr="00F22DFE">
        <w:rPr>
          <w:rFonts w:ascii="Times New Roman" w:eastAsia="Times New Roman" w:hAnsi="Times New Roman" w:cs="Times New Roman"/>
          <w:b/>
        </w:rPr>
        <w:t>1.</w:t>
      </w:r>
      <w:r w:rsidR="00304251">
        <w:rPr>
          <w:rFonts w:ascii="Times New Roman" w:eastAsia="Times New Roman" w:hAnsi="Times New Roman" w:cs="Times New Roman"/>
          <w:b/>
        </w:rPr>
        <w:t>2</w:t>
      </w:r>
      <w:r w:rsidRPr="00F22DFE">
        <w:rPr>
          <w:rFonts w:ascii="Times New Roman" w:eastAsia="Times New Roman" w:hAnsi="Times New Roman" w:cs="Times New Roman"/>
          <w:b/>
        </w:rPr>
        <w:t xml:space="preserve">. Transakcije u inozemnim valutama </w:t>
      </w:r>
      <w:r w:rsidR="00304251">
        <w:rPr>
          <w:rFonts w:ascii="Times New Roman" w:eastAsia="Times New Roman" w:hAnsi="Times New Roman" w:cs="Times New Roman"/>
          <w:b/>
        </w:rPr>
        <w:t>– nisu članice EU</w:t>
      </w:r>
    </w:p>
    <w:p w14:paraId="1D7D39BF" w14:textId="77777777" w:rsidR="00131D13" w:rsidRPr="00F22DFE" w:rsidRDefault="00131D13" w:rsidP="00131D13">
      <w:pPr>
        <w:spacing w:after="0" w:line="240" w:lineRule="auto"/>
        <w:jc w:val="both"/>
        <w:rPr>
          <w:rFonts w:ascii="Times New Roman" w:eastAsia="Times New Roman" w:hAnsi="Times New Roman" w:cs="Times New Roman"/>
        </w:rPr>
      </w:pPr>
    </w:p>
    <w:p w14:paraId="681D09A9" w14:textId="37CFC9A0"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Sve transakcije u inozemnim valutama preračunate su u </w:t>
      </w:r>
      <w:r w:rsidR="00304251">
        <w:rPr>
          <w:rFonts w:ascii="Times New Roman" w:eastAsia="Times New Roman" w:hAnsi="Times New Roman" w:cs="Times New Roman"/>
        </w:rPr>
        <w:t>EUR</w:t>
      </w:r>
      <w:r w:rsidRPr="00F22DFE">
        <w:rPr>
          <w:rFonts w:ascii="Times New Roman" w:eastAsia="Times New Roman" w:hAnsi="Times New Roman" w:cs="Times New Roman"/>
        </w:rPr>
        <w:t xml:space="preserve"> po tečajnoj listi važećoj na dan transakcije. Aktiva i pasiva doznačene u inozemnim valutama su preračunate u kune po srednjem tečaju Hrvatske narodne banke važećim na dan Bilance. Dobici ili gubici po tečajnim razlikama priznaju se u računu dobiti i gubitka.</w:t>
      </w:r>
    </w:p>
    <w:p w14:paraId="3D0877DB"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ab/>
      </w:r>
    </w:p>
    <w:p w14:paraId="08EACFC6" w14:textId="77777777" w:rsidR="00131D13" w:rsidRPr="00F22DFE" w:rsidRDefault="00131D13" w:rsidP="00131D13">
      <w:pPr>
        <w:spacing w:after="0" w:line="240" w:lineRule="auto"/>
        <w:ind w:left="426"/>
        <w:jc w:val="both"/>
        <w:rPr>
          <w:rFonts w:ascii="Times New Roman" w:eastAsia="Times New Roman" w:hAnsi="Times New Roman" w:cs="Times New Roman"/>
          <w:b/>
        </w:rPr>
      </w:pPr>
    </w:p>
    <w:p w14:paraId="33318FC9"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Bilješka 2. </w:t>
      </w:r>
      <w:r w:rsidRPr="00F22DFE">
        <w:rPr>
          <w:rFonts w:ascii="Times New Roman" w:eastAsia="Times New Roman" w:hAnsi="Times New Roman" w:cs="Times New Roman"/>
          <w:b/>
        </w:rPr>
        <w:tab/>
        <w:t>Sažetak osnovnih računovodstvenih politika</w:t>
      </w:r>
    </w:p>
    <w:p w14:paraId="0F65D5FC" w14:textId="77777777" w:rsidR="00131D13" w:rsidRPr="00F22DFE" w:rsidRDefault="00131D13" w:rsidP="00131D13">
      <w:pPr>
        <w:spacing w:after="0" w:line="240" w:lineRule="auto"/>
        <w:jc w:val="both"/>
        <w:rPr>
          <w:rFonts w:ascii="Times New Roman" w:eastAsia="Times New Roman" w:hAnsi="Times New Roman" w:cs="Times New Roman"/>
        </w:rPr>
      </w:pPr>
    </w:p>
    <w:p w14:paraId="50CECE5B" w14:textId="78BF35C4"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Temeljne računovodstvene politike primijenjene kod sastavljanja financijskih izvještaja za 20</w:t>
      </w:r>
      <w:r w:rsidR="00981512">
        <w:rPr>
          <w:rFonts w:ascii="Times New Roman" w:eastAsia="Times New Roman" w:hAnsi="Times New Roman" w:cs="Times New Roman"/>
        </w:rPr>
        <w:t>2</w:t>
      </w:r>
      <w:r w:rsidR="00040C22">
        <w:rPr>
          <w:rFonts w:ascii="Times New Roman" w:eastAsia="Times New Roman" w:hAnsi="Times New Roman" w:cs="Times New Roman"/>
        </w:rPr>
        <w:t>4</w:t>
      </w:r>
      <w:r w:rsidRPr="00F22DFE">
        <w:rPr>
          <w:rFonts w:ascii="Times New Roman" w:eastAsia="Times New Roman" w:hAnsi="Times New Roman" w:cs="Times New Roman"/>
        </w:rPr>
        <w:t>. godinu bile su sljedeće:</w:t>
      </w:r>
    </w:p>
    <w:p w14:paraId="28CF6089" w14:textId="77777777" w:rsidR="00131D13" w:rsidRPr="00F22DFE" w:rsidRDefault="00131D13" w:rsidP="00131D13">
      <w:pPr>
        <w:spacing w:after="0" w:line="240" w:lineRule="auto"/>
        <w:rPr>
          <w:rFonts w:ascii="Times New Roman" w:eastAsia="Times New Roman" w:hAnsi="Times New Roman" w:cs="Times New Roman"/>
        </w:rPr>
      </w:pPr>
    </w:p>
    <w:p w14:paraId="36B73BB1"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 </w:t>
      </w:r>
      <w:r w:rsidRPr="00F22DFE">
        <w:rPr>
          <w:rFonts w:ascii="Times New Roman" w:eastAsia="Times New Roman" w:hAnsi="Times New Roman" w:cs="Times New Roman"/>
          <w:b/>
        </w:rPr>
        <w:tab/>
        <w:t xml:space="preserve">Poslovni prihodi </w:t>
      </w:r>
    </w:p>
    <w:p w14:paraId="2E79B990" w14:textId="77777777" w:rsidR="00131D13" w:rsidRPr="00F22DFE" w:rsidRDefault="00131D13" w:rsidP="00131D13">
      <w:pPr>
        <w:spacing w:after="0" w:line="240" w:lineRule="auto"/>
        <w:rPr>
          <w:rFonts w:ascii="Times New Roman" w:eastAsia="Times New Roman" w:hAnsi="Times New Roman" w:cs="Times New Roman"/>
        </w:rPr>
      </w:pPr>
    </w:p>
    <w:p w14:paraId="0ED08F00"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Prihodi od prodaje priznaju se u računu dobiti i gubitka kada su značajni rizici i koristi od vlasništva prešli na kupca. Porezi, diskonti i količinski popusti se isključuju iz prihoda.</w:t>
      </w:r>
    </w:p>
    <w:p w14:paraId="720AA3A0" w14:textId="77777777" w:rsidR="00131D13" w:rsidRPr="00F22DFE" w:rsidRDefault="00131D13" w:rsidP="00131D13">
      <w:pPr>
        <w:keepNext/>
        <w:spacing w:after="0" w:line="240" w:lineRule="auto"/>
        <w:ind w:left="360" w:hanging="360"/>
        <w:jc w:val="right"/>
        <w:outlineLvl w:val="1"/>
        <w:rPr>
          <w:rFonts w:ascii="Times New Roman" w:eastAsia="Times New Roman" w:hAnsi="Times New Roman" w:cs="Times New Roman"/>
          <w:bCs/>
        </w:rPr>
      </w:pPr>
    </w:p>
    <w:p w14:paraId="1D342CE9"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2.2. </w:t>
      </w:r>
      <w:r w:rsidRPr="00F22DFE">
        <w:rPr>
          <w:rFonts w:ascii="Times New Roman" w:eastAsia="Times New Roman" w:hAnsi="Times New Roman" w:cs="Times New Roman"/>
          <w:b/>
        </w:rPr>
        <w:tab/>
        <w:t xml:space="preserve">Troškovi prodane robe </w:t>
      </w:r>
    </w:p>
    <w:p w14:paraId="75AB9CD1" w14:textId="77777777" w:rsidR="00131D13" w:rsidRPr="00F22DFE" w:rsidRDefault="00131D13" w:rsidP="00131D13">
      <w:pPr>
        <w:spacing w:after="0" w:line="240" w:lineRule="auto"/>
        <w:rPr>
          <w:rFonts w:ascii="Times New Roman" w:eastAsia="Times New Roman" w:hAnsi="Times New Roman" w:cs="Times New Roman"/>
        </w:rPr>
      </w:pPr>
    </w:p>
    <w:p w14:paraId="53ABE447" w14:textId="77777777" w:rsidR="00131D13" w:rsidRPr="00F22DFE" w:rsidRDefault="00131D13" w:rsidP="00131D13">
      <w:pPr>
        <w:spacing w:after="120" w:line="240" w:lineRule="auto"/>
        <w:jc w:val="both"/>
        <w:rPr>
          <w:rFonts w:ascii="Times New Roman" w:eastAsia="Times New Roman" w:hAnsi="Times New Roman" w:cs="Times New Roman"/>
          <w:lang w:eastAsia="hr-HR"/>
        </w:rPr>
      </w:pPr>
      <w:r w:rsidRPr="00F22DFE">
        <w:rPr>
          <w:rFonts w:ascii="Times New Roman" w:eastAsia="Times New Roman" w:hAnsi="Times New Roman" w:cs="Times New Roman"/>
          <w:lang w:eastAsia="hr-HR"/>
        </w:rPr>
        <w:t xml:space="preserve">Troškove prodane robe čini kupovna cijena prema fakturi dobavljača umanjena za popuste, rabate (neto fakturna cijena) i to isključivo one koji su iskazani u fakturi dobavljača. Ostali troškovi kupnje (zavisni troškovi) jesu troškovi prijevoza, ukrcaja i istovara robe, carine i druge uvozne pristojbe i svi drugi troškovi koji se izravno mogu pripisati nabavci. </w:t>
      </w:r>
    </w:p>
    <w:p w14:paraId="0461566E" w14:textId="77777777" w:rsidR="00131D13" w:rsidRPr="00F22DFE" w:rsidRDefault="00131D13" w:rsidP="00131D13">
      <w:pPr>
        <w:spacing w:after="120" w:line="240" w:lineRule="auto"/>
        <w:jc w:val="both"/>
        <w:rPr>
          <w:rFonts w:ascii="Times New Roman" w:eastAsia="Times New Roman" w:hAnsi="Times New Roman" w:cs="Times New Roman"/>
          <w:lang w:eastAsia="hr-HR"/>
        </w:rPr>
      </w:pPr>
      <w:r w:rsidRPr="00F22DFE">
        <w:rPr>
          <w:rFonts w:ascii="Times New Roman" w:eastAsia="Times New Roman" w:hAnsi="Times New Roman" w:cs="Times New Roman"/>
          <w:lang w:eastAsia="hr-HR"/>
        </w:rPr>
        <w:t>Nabavna vrijednost prodane robe predstavlja troškove nabave robe u odnosu na fakturiranu realizaciju.</w:t>
      </w:r>
    </w:p>
    <w:p w14:paraId="253D7D40"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2.3. </w:t>
      </w:r>
      <w:r w:rsidRPr="00F22DFE">
        <w:rPr>
          <w:rFonts w:ascii="Times New Roman" w:eastAsia="Times New Roman" w:hAnsi="Times New Roman" w:cs="Times New Roman"/>
          <w:b/>
        </w:rPr>
        <w:tab/>
        <w:t xml:space="preserve">Troškovi razdoblja  </w:t>
      </w:r>
    </w:p>
    <w:p w14:paraId="42FAB812" w14:textId="77777777" w:rsidR="00131D13" w:rsidRPr="00F22DFE" w:rsidRDefault="00131D13" w:rsidP="00131D13">
      <w:pPr>
        <w:spacing w:after="0" w:line="240" w:lineRule="auto"/>
        <w:rPr>
          <w:rFonts w:ascii="Times New Roman" w:eastAsia="Times New Roman" w:hAnsi="Times New Roman" w:cs="Times New Roman"/>
        </w:rPr>
      </w:pPr>
    </w:p>
    <w:p w14:paraId="277470BE"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Troškovi razdoblja su rashodi obračunskog razdoblja koji se nadoknađuju iz prihoda razdoblja u kojem su nastali. </w:t>
      </w:r>
    </w:p>
    <w:p w14:paraId="3915F992" w14:textId="77777777" w:rsidR="00131D13" w:rsidRPr="00F22DFE" w:rsidRDefault="00131D13" w:rsidP="00131D13">
      <w:pPr>
        <w:spacing w:after="0" w:line="240" w:lineRule="auto"/>
        <w:jc w:val="both"/>
        <w:rPr>
          <w:rFonts w:ascii="Times New Roman" w:eastAsia="Times New Roman" w:hAnsi="Times New Roman" w:cs="Times New Roman"/>
        </w:rPr>
      </w:pPr>
    </w:p>
    <w:p w14:paraId="1C10CCAD"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2.4. </w:t>
      </w:r>
      <w:r w:rsidRPr="00F22DFE">
        <w:rPr>
          <w:rFonts w:ascii="Times New Roman" w:eastAsia="Times New Roman" w:hAnsi="Times New Roman" w:cs="Times New Roman"/>
          <w:b/>
        </w:rPr>
        <w:tab/>
        <w:t xml:space="preserve">Troškovi sirovina i materijala  </w:t>
      </w:r>
    </w:p>
    <w:p w14:paraId="4B88DA12" w14:textId="77777777" w:rsidR="00131D13" w:rsidRPr="00F22DFE" w:rsidRDefault="00131D13" w:rsidP="00131D13">
      <w:pPr>
        <w:spacing w:after="0" w:line="240" w:lineRule="auto"/>
        <w:rPr>
          <w:rFonts w:ascii="Times New Roman" w:eastAsia="Times New Roman" w:hAnsi="Times New Roman" w:cs="Times New Roman"/>
        </w:rPr>
      </w:pPr>
    </w:p>
    <w:p w14:paraId="5C22BA7B"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Obračun utroška sirovine i materijala, rezervnih dijelova izveden je primjenom prosječno  ponderirane NC. </w:t>
      </w:r>
    </w:p>
    <w:p w14:paraId="3B58E7A3" w14:textId="77777777" w:rsidR="00131D13" w:rsidRPr="00F22DFE" w:rsidRDefault="00131D13" w:rsidP="00131D13">
      <w:pPr>
        <w:spacing w:after="0" w:line="240" w:lineRule="auto"/>
        <w:jc w:val="both"/>
        <w:rPr>
          <w:rFonts w:ascii="Times New Roman" w:eastAsia="Times New Roman" w:hAnsi="Times New Roman" w:cs="Times New Roman"/>
          <w:u w:val="single"/>
        </w:rPr>
      </w:pPr>
    </w:p>
    <w:p w14:paraId="413B0A2F" w14:textId="4FD45FD2" w:rsidR="00304251" w:rsidRPr="0075481A" w:rsidRDefault="0075481A" w:rsidP="0075481A">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2</w:t>
      </w:r>
    </w:p>
    <w:p w14:paraId="11028CFC" w14:textId="77777777" w:rsidR="00304251" w:rsidRDefault="00304251" w:rsidP="00131D13">
      <w:pPr>
        <w:spacing w:after="0" w:line="240" w:lineRule="auto"/>
        <w:jc w:val="both"/>
        <w:rPr>
          <w:rFonts w:ascii="Times New Roman" w:eastAsia="Times New Roman" w:hAnsi="Times New Roman" w:cs="Times New Roman"/>
          <w:b/>
        </w:rPr>
      </w:pPr>
    </w:p>
    <w:p w14:paraId="5CBB21B8"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2.5. </w:t>
      </w:r>
      <w:r w:rsidRPr="00F22DFE">
        <w:rPr>
          <w:rFonts w:ascii="Times New Roman" w:eastAsia="Times New Roman" w:hAnsi="Times New Roman" w:cs="Times New Roman"/>
          <w:b/>
        </w:rPr>
        <w:tab/>
        <w:t>Financijski prihodi i rashodi</w:t>
      </w:r>
    </w:p>
    <w:p w14:paraId="120970F4" w14:textId="77777777" w:rsidR="00131D13" w:rsidRPr="00F22DFE" w:rsidRDefault="00131D13" w:rsidP="00131D13">
      <w:pPr>
        <w:spacing w:after="0" w:line="240" w:lineRule="auto"/>
        <w:jc w:val="both"/>
        <w:rPr>
          <w:rFonts w:ascii="Times New Roman" w:eastAsia="Times New Roman" w:hAnsi="Times New Roman" w:cs="Times New Roman"/>
          <w:b/>
        </w:rPr>
      </w:pPr>
    </w:p>
    <w:p w14:paraId="0F3F03B4"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Financijski prihod sastoji se od prihoda od kamata na investirana sredstva, dobiti od prodaje financijske imovine namijenjene prodaji te od dobitaka od tečajnih razlika.</w:t>
      </w:r>
    </w:p>
    <w:p w14:paraId="7F7DD9AB"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Financijski rashodi sastoji se od troška obračunatih kamata na kredite i zajmove, gubitaka od tečajnih razlika te od gubitaka od umanjenja i otuđenja financijske imovine.</w:t>
      </w:r>
    </w:p>
    <w:p w14:paraId="1A1467B0"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 računu dobiti i gubitka iskazuju se kao financijski prihodi/rashodi –neto.</w:t>
      </w:r>
    </w:p>
    <w:p w14:paraId="1BDA9A70" w14:textId="77777777" w:rsidR="00131D13" w:rsidRPr="00F22DFE" w:rsidRDefault="00131D13" w:rsidP="00131D13">
      <w:pPr>
        <w:spacing w:after="0" w:line="240" w:lineRule="auto"/>
        <w:jc w:val="both"/>
        <w:rPr>
          <w:rFonts w:ascii="Times New Roman" w:eastAsia="Times New Roman" w:hAnsi="Times New Roman" w:cs="Times New Roman"/>
          <w:iCs/>
        </w:rPr>
      </w:pPr>
    </w:p>
    <w:p w14:paraId="2C6389D0" w14:textId="77777777" w:rsidR="00131D13" w:rsidRPr="00F22DFE" w:rsidRDefault="00131D13" w:rsidP="00131D13">
      <w:pPr>
        <w:spacing w:after="0" w:line="240" w:lineRule="auto"/>
        <w:rPr>
          <w:rFonts w:ascii="Times New Roman" w:eastAsia="Times New Roman" w:hAnsi="Times New Roman" w:cs="Times New Roman"/>
          <w:b/>
        </w:rPr>
      </w:pPr>
      <w:r w:rsidRPr="00F22DFE">
        <w:rPr>
          <w:rFonts w:ascii="Times New Roman" w:eastAsia="Times New Roman" w:hAnsi="Times New Roman" w:cs="Times New Roman"/>
          <w:b/>
        </w:rPr>
        <w:t xml:space="preserve">2.6. </w:t>
      </w:r>
      <w:r w:rsidRPr="00F22DFE">
        <w:rPr>
          <w:rFonts w:ascii="Times New Roman" w:eastAsia="Times New Roman" w:hAnsi="Times New Roman" w:cs="Times New Roman"/>
          <w:b/>
        </w:rPr>
        <w:tab/>
        <w:t>Porez na dobit</w:t>
      </w:r>
    </w:p>
    <w:p w14:paraId="01AAC336" w14:textId="77777777" w:rsidR="00131D13" w:rsidRPr="00F22DFE" w:rsidRDefault="00131D13" w:rsidP="00131D13">
      <w:pPr>
        <w:spacing w:after="0" w:line="240" w:lineRule="auto"/>
        <w:jc w:val="both"/>
        <w:rPr>
          <w:rFonts w:ascii="Times New Roman" w:eastAsia="Times New Roman" w:hAnsi="Times New Roman" w:cs="Times New Roman"/>
        </w:rPr>
      </w:pPr>
    </w:p>
    <w:p w14:paraId="0F0FAF8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Obračun poreza na dobit zasniva se na obračunu dobiti za tu godinu i usklađuje se za stalne i povremene razlike između oporezive i računovodstvene dobiti.</w:t>
      </w:r>
    </w:p>
    <w:p w14:paraId="67CCCD3E"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Obračun poreza na dobit vrši se u skladu s hrvatskim poreznim propisima. Odgođeni porezi obračunavaju se korištenjem metode obveza za sve privremene razlike na dan iskazivanja bilance zbog vremenskih razlika priznavanja prihoda i rashoda čije se uključivanje u oporezivu dobit ne poklapa s uključivanjem u poreznu dobit u okviru financijskih izvješća. Odgođeni porezi obračunavaju se po poreznoj stopi koja je primjenjiva u godinama u kojima se očekuje da će se privremene razlike nadoknaditi.</w:t>
      </w:r>
    </w:p>
    <w:p w14:paraId="36EAAB26"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Odgođeno porezno sredstvo priznaje se kad je vjerojatno da će se ostvariti dovoljno oporezive dobiti na teret koje se ono može iskoristiti. Tekući porez i odgođeni porez terete se ili odobravaju direktno u kapitalu ako se porez odnosi direktno na stavke koje su odobrene ili terećene, u istom ili različitom razdoblju, direktno na kapital.</w:t>
      </w:r>
    </w:p>
    <w:p w14:paraId="63B4B2A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Na dan bilance ponovno se procjenjuje nepriznata porezna sredstva te prikladnost sadašnje vrijednosti poreznih sredstava.</w:t>
      </w:r>
    </w:p>
    <w:p w14:paraId="2636DFC7"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22339BBA" w14:textId="77777777" w:rsidR="00131D13" w:rsidRPr="00F22DFE" w:rsidRDefault="00131D13" w:rsidP="00131D13">
      <w:pPr>
        <w:spacing w:after="0" w:line="240" w:lineRule="auto"/>
        <w:jc w:val="both"/>
        <w:rPr>
          <w:rFonts w:ascii="Times New Roman" w:eastAsia="Times New Roman" w:hAnsi="Times New Roman" w:cs="Times New Roman"/>
          <w:b/>
          <w:bCs/>
        </w:rPr>
      </w:pPr>
      <w:r w:rsidRPr="00F22DFE">
        <w:rPr>
          <w:rFonts w:ascii="Times New Roman" w:eastAsia="Times New Roman" w:hAnsi="Times New Roman" w:cs="Times New Roman"/>
          <w:b/>
          <w:bCs/>
        </w:rPr>
        <w:t>2.7.</w:t>
      </w:r>
      <w:r w:rsidRPr="00F22DFE">
        <w:rPr>
          <w:rFonts w:ascii="Times New Roman" w:eastAsia="Times New Roman" w:hAnsi="Times New Roman" w:cs="Times New Roman"/>
          <w:b/>
          <w:bCs/>
        </w:rPr>
        <w:tab/>
        <w:t>Kapital</w:t>
      </w:r>
    </w:p>
    <w:p w14:paraId="30E9FE85"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1BD606E4"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Upisani kapital iskazuje se u svoti koja je upisana u sudski registar prilikom osnivanja, odnosno promjene upisa vrijednosti kapitala u trgovačkom registru.</w:t>
      </w:r>
    </w:p>
    <w:p w14:paraId="7CD312BF" w14:textId="77777777" w:rsidR="00131D13" w:rsidRPr="00F22DFE" w:rsidRDefault="00131D13" w:rsidP="00131D13">
      <w:pPr>
        <w:spacing w:after="0" w:line="240" w:lineRule="auto"/>
        <w:jc w:val="both"/>
        <w:rPr>
          <w:rFonts w:ascii="Times New Roman" w:eastAsia="Times New Roman" w:hAnsi="Times New Roman" w:cs="Times New Roman"/>
        </w:rPr>
      </w:pPr>
    </w:p>
    <w:p w14:paraId="488312E3" w14:textId="77777777" w:rsidR="00131D13" w:rsidRPr="00F22DFE" w:rsidRDefault="00131D13" w:rsidP="00131D13">
      <w:pPr>
        <w:spacing w:after="0" w:line="240" w:lineRule="auto"/>
        <w:jc w:val="both"/>
        <w:rPr>
          <w:rFonts w:ascii="Times New Roman" w:eastAsia="Times New Roman" w:hAnsi="Times New Roman" w:cs="Times New Roman"/>
          <w:b/>
          <w:bCs/>
        </w:rPr>
      </w:pPr>
      <w:r w:rsidRPr="00F22DFE">
        <w:rPr>
          <w:rFonts w:ascii="Times New Roman" w:eastAsia="Times New Roman" w:hAnsi="Times New Roman" w:cs="Times New Roman"/>
          <w:b/>
          <w:bCs/>
        </w:rPr>
        <w:t>2.8.</w:t>
      </w:r>
      <w:r w:rsidRPr="00F22DFE">
        <w:rPr>
          <w:rFonts w:ascii="Times New Roman" w:eastAsia="Times New Roman" w:hAnsi="Times New Roman" w:cs="Times New Roman"/>
          <w:b/>
          <w:bCs/>
        </w:rPr>
        <w:tab/>
        <w:t>Rezerviranja</w:t>
      </w:r>
    </w:p>
    <w:p w14:paraId="67785EB6"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0FD65A91"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Rezerviranja se priznaju ako društvo ima sadašnju zakonsku ili izvedenu obvezu kao posljedicu prošlog događaja, ako je vjerojatno da će biti potreban odljev resursa radi podmirivanja obveze te ako se iznos obveze može pouzdano procijeniti.</w:t>
      </w:r>
    </w:p>
    <w:p w14:paraId="2D5D161D" w14:textId="77777777" w:rsidR="00131D13" w:rsidRPr="00F22DFE" w:rsidRDefault="00131D13" w:rsidP="00131D13">
      <w:pPr>
        <w:spacing w:after="0" w:line="240" w:lineRule="auto"/>
        <w:jc w:val="right"/>
        <w:rPr>
          <w:rFonts w:ascii="Times New Roman" w:eastAsia="Times New Roman" w:hAnsi="Times New Roman" w:cs="Times New Roman"/>
          <w:bCs/>
        </w:rPr>
      </w:pPr>
    </w:p>
    <w:p w14:paraId="67261B2B"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2.9. </w:t>
      </w:r>
      <w:r w:rsidRPr="00F22DFE">
        <w:rPr>
          <w:rFonts w:ascii="Times New Roman" w:eastAsia="Times New Roman" w:hAnsi="Times New Roman" w:cs="Times New Roman"/>
          <w:b/>
        </w:rPr>
        <w:tab/>
        <w:t>Nematerijalna imovina</w:t>
      </w:r>
    </w:p>
    <w:p w14:paraId="3BED2926" w14:textId="77777777" w:rsidR="00131D13" w:rsidRPr="00F22DFE" w:rsidRDefault="00131D13" w:rsidP="00131D13">
      <w:pPr>
        <w:spacing w:after="0" w:line="240" w:lineRule="auto"/>
        <w:jc w:val="both"/>
        <w:rPr>
          <w:rFonts w:ascii="Times New Roman" w:eastAsia="Times New Roman" w:hAnsi="Times New Roman" w:cs="Times New Roman"/>
        </w:rPr>
      </w:pPr>
    </w:p>
    <w:p w14:paraId="1450593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Nematerijalna imovina uključuje softver, </w:t>
      </w:r>
      <w:r w:rsidR="00BB29DA">
        <w:rPr>
          <w:rFonts w:ascii="Times New Roman" w:eastAsia="Times New Roman" w:hAnsi="Times New Roman" w:cs="Times New Roman"/>
        </w:rPr>
        <w:t>licence</w:t>
      </w:r>
      <w:r w:rsidRPr="00F22DFE">
        <w:rPr>
          <w:rFonts w:ascii="Times New Roman" w:eastAsia="Times New Roman" w:hAnsi="Times New Roman" w:cs="Times New Roman"/>
        </w:rPr>
        <w:t xml:space="preserve"> i ulaganja na tuđoj imovini i inicijalno se iskazuje po trošku nabave te naknadno po trošku nabave umanjenom za ispravak vrijednosti i umanjenje vrijednosti. Amortizacija je prikazana u računu dobiti i gubitka, te se izračunava linearnom metodom tijekom očekivanog vijeka uporabe. </w:t>
      </w:r>
    </w:p>
    <w:p w14:paraId="697A8417" w14:textId="77777777" w:rsidR="00131D13" w:rsidRPr="00F22DFE" w:rsidRDefault="00131D13" w:rsidP="00131D13">
      <w:pPr>
        <w:spacing w:after="0" w:line="240" w:lineRule="auto"/>
        <w:jc w:val="both"/>
        <w:rPr>
          <w:rFonts w:ascii="Times New Roman" w:eastAsia="Times New Roman" w:hAnsi="Times New Roman" w:cs="Times New Roman"/>
        </w:rPr>
      </w:pPr>
    </w:p>
    <w:p w14:paraId="50A1E902"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2.10. </w:t>
      </w:r>
      <w:r w:rsidRPr="00F22DFE">
        <w:rPr>
          <w:rFonts w:ascii="Times New Roman" w:eastAsia="Times New Roman" w:hAnsi="Times New Roman" w:cs="Times New Roman"/>
          <w:b/>
        </w:rPr>
        <w:tab/>
        <w:t xml:space="preserve">Nekretnine, postrojenja i oprema </w:t>
      </w:r>
    </w:p>
    <w:p w14:paraId="6E74DD79" w14:textId="77777777" w:rsidR="00131D13" w:rsidRPr="00F22DFE" w:rsidRDefault="00131D13" w:rsidP="00131D13">
      <w:pPr>
        <w:spacing w:after="0" w:line="240" w:lineRule="auto"/>
        <w:jc w:val="both"/>
        <w:rPr>
          <w:rFonts w:ascii="Times New Roman" w:eastAsia="Times New Roman" w:hAnsi="Times New Roman" w:cs="Times New Roman"/>
        </w:rPr>
      </w:pPr>
    </w:p>
    <w:p w14:paraId="14614C71"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Materijalna imovina, izuzev zemljišta, iskazuje se po trošku nabave umanjenom za akumuliranu amortizaciju i trajna umanjenja vrijednosti.</w:t>
      </w:r>
    </w:p>
    <w:p w14:paraId="34C07FA3" w14:textId="77777777" w:rsidR="00A81432" w:rsidRDefault="00A81432" w:rsidP="00131D13">
      <w:pPr>
        <w:spacing w:after="0" w:line="240" w:lineRule="auto"/>
        <w:jc w:val="both"/>
        <w:rPr>
          <w:rFonts w:ascii="Times New Roman" w:eastAsia="Times New Roman" w:hAnsi="Times New Roman" w:cs="Times New Roman"/>
        </w:rPr>
      </w:pPr>
    </w:p>
    <w:p w14:paraId="57ED5E84" w14:textId="484FC0AC" w:rsidR="00A81432" w:rsidRDefault="00A81432" w:rsidP="00A81432">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p w14:paraId="73BE4AA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lastRenderedPageBreak/>
        <w:t>Naknadni izdaci uključuju se u knjigovodstvenu vrijednost imovine ili se, po potrebi, priznaju kao zasebna imovina samo ako će društvo imati buduće ekonomske koristi od spomenute imovine, te ako se trošak imovine može pouzdano mjeriti. Popravci i održavanja nekretnina, postrojenja i opreme priznaju se kao rashodi razdoblja u kojem su nastali.</w:t>
      </w:r>
    </w:p>
    <w:p w14:paraId="66433DC3"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Amortizacija se knjiži kao trošak razdoblja, a obračunava se linearnom metodom tijekom očekivanog korisnog vijeka trajanja imovine. </w:t>
      </w:r>
    </w:p>
    <w:p w14:paraId="2D4DAD16" w14:textId="5A89C698" w:rsidR="00131D13" w:rsidRDefault="00DE35C7" w:rsidP="00131D1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sidR="00A841B9">
        <w:rPr>
          <w:rFonts w:ascii="Times New Roman" w:eastAsia="Times New Roman" w:hAnsi="Times New Roman" w:cs="Times New Roman"/>
        </w:rPr>
        <w:t>emeljem točke 6.49. HSFI-ja, a što je u skladu sa porezno priznatim amortizacijskim stopama sukladno čl. 12. Zakona o porezu na dobit (NN 143/14</w:t>
      </w:r>
      <w:r w:rsidR="00304251">
        <w:rPr>
          <w:rFonts w:ascii="Times New Roman" w:eastAsia="Times New Roman" w:hAnsi="Times New Roman" w:cs="Times New Roman"/>
        </w:rPr>
        <w:t>-114/23</w:t>
      </w:r>
      <w:r w:rsidR="00A841B9">
        <w:rPr>
          <w:rFonts w:ascii="Times New Roman" w:eastAsia="Times New Roman" w:hAnsi="Times New Roman" w:cs="Times New Roman"/>
        </w:rPr>
        <w:t xml:space="preserve">) </w:t>
      </w:r>
      <w:r w:rsidR="00131D13" w:rsidRPr="00F22DFE">
        <w:rPr>
          <w:rFonts w:ascii="Times New Roman" w:eastAsia="Times New Roman" w:hAnsi="Times New Roman" w:cs="Times New Roman"/>
        </w:rPr>
        <w:t>procijenjeni vijek uporabe imovine za 20</w:t>
      </w:r>
      <w:r w:rsidR="00A841B9">
        <w:rPr>
          <w:rFonts w:ascii="Times New Roman" w:eastAsia="Times New Roman" w:hAnsi="Times New Roman" w:cs="Times New Roman"/>
        </w:rPr>
        <w:t>2</w:t>
      </w:r>
      <w:r w:rsidR="00040C22">
        <w:rPr>
          <w:rFonts w:ascii="Times New Roman" w:eastAsia="Times New Roman" w:hAnsi="Times New Roman" w:cs="Times New Roman"/>
        </w:rPr>
        <w:t>4</w:t>
      </w:r>
      <w:r w:rsidR="00131D13" w:rsidRPr="00F22DFE">
        <w:rPr>
          <w:rFonts w:ascii="Times New Roman" w:eastAsia="Times New Roman" w:hAnsi="Times New Roman" w:cs="Times New Roman"/>
        </w:rPr>
        <w:t>. godinu</w:t>
      </w:r>
      <w:r w:rsidR="00A841B9">
        <w:rPr>
          <w:rFonts w:ascii="Times New Roman" w:eastAsia="Times New Roman" w:hAnsi="Times New Roman" w:cs="Times New Roman"/>
        </w:rPr>
        <w:t xml:space="preserve"> je kako slijedi</w:t>
      </w:r>
      <w:r w:rsidR="00131D13" w:rsidRPr="00F22DFE">
        <w:rPr>
          <w:rFonts w:ascii="Times New Roman" w:eastAsia="Times New Roman" w:hAnsi="Times New Roman" w:cs="Times New Roman"/>
        </w:rPr>
        <w:t>:</w:t>
      </w:r>
    </w:p>
    <w:p w14:paraId="368CE2CA" w14:textId="77777777" w:rsidR="0013432E" w:rsidRDefault="0013432E" w:rsidP="00131D13">
      <w:pPr>
        <w:spacing w:after="0" w:line="240" w:lineRule="auto"/>
        <w:jc w:val="both"/>
        <w:rPr>
          <w:rFonts w:ascii="Times New Roman" w:eastAsia="Times New Roman" w:hAnsi="Times New Roman" w:cs="Times New Roman"/>
        </w:rPr>
      </w:pPr>
    </w:p>
    <w:tbl>
      <w:tblPr>
        <w:tblW w:w="8789" w:type="dxa"/>
        <w:tblInd w:w="108" w:type="dxa"/>
        <w:tblLayout w:type="fixed"/>
        <w:tblLook w:val="0000" w:firstRow="0" w:lastRow="0" w:firstColumn="0" w:lastColumn="0" w:noHBand="0" w:noVBand="0"/>
      </w:tblPr>
      <w:tblGrid>
        <w:gridCol w:w="4395"/>
        <w:gridCol w:w="2126"/>
        <w:gridCol w:w="2268"/>
      </w:tblGrid>
      <w:tr w:rsidR="00040C22" w:rsidRPr="00F22DFE" w14:paraId="745D057F" w14:textId="77777777" w:rsidTr="00040C22">
        <w:trPr>
          <w:trHeight w:val="292"/>
        </w:trPr>
        <w:tc>
          <w:tcPr>
            <w:tcW w:w="4395" w:type="dxa"/>
            <w:tcBorders>
              <w:bottom w:val="single" w:sz="4" w:space="0" w:color="auto"/>
            </w:tcBorders>
            <w:vAlign w:val="bottom"/>
          </w:tcPr>
          <w:p w14:paraId="027913F0" w14:textId="77777777" w:rsidR="00040C22" w:rsidRPr="00F22DFE" w:rsidRDefault="00040C22" w:rsidP="00040C22">
            <w:pPr>
              <w:spacing w:after="0" w:line="240" w:lineRule="auto"/>
              <w:rPr>
                <w:rFonts w:ascii="Times New Roman" w:eastAsia="Times New Roman" w:hAnsi="Times New Roman" w:cs="Times New Roman"/>
                <w:b/>
                <w:bCs/>
                <w:lang w:eastAsia="hr-HR"/>
              </w:rPr>
            </w:pPr>
            <w:r w:rsidRPr="00F22DFE">
              <w:rPr>
                <w:rFonts w:ascii="Times New Roman" w:eastAsia="Times New Roman" w:hAnsi="Times New Roman" w:cs="Times New Roman"/>
                <w:lang w:eastAsia="hr-HR"/>
              </w:rPr>
              <w:t xml:space="preserve">                                                                             </w:t>
            </w:r>
          </w:p>
        </w:tc>
        <w:tc>
          <w:tcPr>
            <w:tcW w:w="2126" w:type="dxa"/>
            <w:tcBorders>
              <w:bottom w:val="single" w:sz="4" w:space="0" w:color="auto"/>
            </w:tcBorders>
            <w:vAlign w:val="bottom"/>
          </w:tcPr>
          <w:p w14:paraId="79FE97BB" w14:textId="77777777" w:rsidR="00040C22" w:rsidRPr="00F22DFE" w:rsidRDefault="00040C22" w:rsidP="00040C22">
            <w:pPr>
              <w:spacing w:after="0" w:line="240" w:lineRule="auto"/>
              <w:jc w:val="center"/>
              <w:rPr>
                <w:rFonts w:ascii="Times New Roman" w:eastAsia="Times New Roman" w:hAnsi="Times New Roman" w:cs="Times New Roman"/>
                <w:b/>
              </w:rPr>
            </w:pPr>
            <w:r w:rsidRPr="00F22DFE">
              <w:rPr>
                <w:rFonts w:ascii="Times New Roman" w:eastAsia="Times New Roman" w:hAnsi="Times New Roman" w:cs="Times New Roman"/>
                <w:b/>
              </w:rPr>
              <w:t>Amortizacijski vijek</w:t>
            </w:r>
          </w:p>
        </w:tc>
        <w:tc>
          <w:tcPr>
            <w:tcW w:w="2268" w:type="dxa"/>
            <w:tcBorders>
              <w:bottom w:val="single" w:sz="4" w:space="0" w:color="auto"/>
            </w:tcBorders>
            <w:vAlign w:val="bottom"/>
          </w:tcPr>
          <w:p w14:paraId="370FCDF5" w14:textId="77777777" w:rsidR="00040C22" w:rsidRPr="00F22DFE" w:rsidRDefault="00040C22" w:rsidP="00040C22">
            <w:pPr>
              <w:spacing w:after="0" w:line="240" w:lineRule="auto"/>
              <w:jc w:val="center"/>
              <w:rPr>
                <w:rFonts w:ascii="Times New Roman" w:eastAsia="Times New Roman" w:hAnsi="Times New Roman" w:cs="Times New Roman"/>
                <w:b/>
              </w:rPr>
            </w:pPr>
            <w:r w:rsidRPr="00F22DFE">
              <w:rPr>
                <w:rFonts w:ascii="Times New Roman" w:eastAsia="Times New Roman" w:hAnsi="Times New Roman" w:cs="Times New Roman"/>
                <w:b/>
              </w:rPr>
              <w:t xml:space="preserve">Najviša porezno dopustiva </w:t>
            </w:r>
            <w:proofErr w:type="spellStart"/>
            <w:r w:rsidRPr="00F22DFE">
              <w:rPr>
                <w:rFonts w:ascii="Times New Roman" w:eastAsia="Times New Roman" w:hAnsi="Times New Roman" w:cs="Times New Roman"/>
                <w:b/>
              </w:rPr>
              <w:t>god.stopa</w:t>
            </w:r>
            <w:proofErr w:type="spellEnd"/>
            <w:r w:rsidRPr="00F22DFE">
              <w:rPr>
                <w:rFonts w:ascii="Times New Roman" w:eastAsia="Times New Roman" w:hAnsi="Times New Roman" w:cs="Times New Roman"/>
                <w:b/>
              </w:rPr>
              <w:t xml:space="preserve"> amortizacije ()*</w:t>
            </w:r>
          </w:p>
        </w:tc>
      </w:tr>
      <w:tr w:rsidR="00040C22" w:rsidRPr="00F22DFE" w14:paraId="75CE74C9" w14:textId="77777777" w:rsidTr="00040C22">
        <w:tc>
          <w:tcPr>
            <w:tcW w:w="4395" w:type="dxa"/>
            <w:tcBorders>
              <w:top w:val="single" w:sz="4" w:space="0" w:color="auto"/>
            </w:tcBorders>
            <w:vAlign w:val="bottom"/>
          </w:tcPr>
          <w:p w14:paraId="2FA8BCA5" w14:textId="77777777" w:rsidR="00040C22" w:rsidRPr="00F22DFE" w:rsidRDefault="00040C22" w:rsidP="00040C22">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Zgrade i građevinski objekti</w:t>
            </w:r>
          </w:p>
        </w:tc>
        <w:tc>
          <w:tcPr>
            <w:tcW w:w="2126" w:type="dxa"/>
            <w:tcBorders>
              <w:top w:val="single" w:sz="4" w:space="0" w:color="auto"/>
            </w:tcBorders>
            <w:vAlign w:val="bottom"/>
          </w:tcPr>
          <w:p w14:paraId="7759C1CE"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20 (10)*</w:t>
            </w:r>
          </w:p>
        </w:tc>
        <w:tc>
          <w:tcPr>
            <w:tcW w:w="2268" w:type="dxa"/>
            <w:tcBorders>
              <w:top w:val="single" w:sz="4" w:space="0" w:color="auto"/>
            </w:tcBorders>
            <w:vAlign w:val="bottom"/>
          </w:tcPr>
          <w:p w14:paraId="496D010F"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10</w:t>
            </w:r>
          </w:p>
        </w:tc>
      </w:tr>
      <w:tr w:rsidR="00040C22" w:rsidRPr="00F22DFE" w14:paraId="15B6A784" w14:textId="77777777" w:rsidTr="00040C22">
        <w:trPr>
          <w:trHeight w:val="351"/>
        </w:trPr>
        <w:tc>
          <w:tcPr>
            <w:tcW w:w="4395" w:type="dxa"/>
          </w:tcPr>
          <w:p w14:paraId="0C634925" w14:textId="77777777" w:rsidR="00040C22" w:rsidRPr="00F22DFE" w:rsidRDefault="00040C22" w:rsidP="00040C22">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Oprema </w:t>
            </w:r>
          </w:p>
        </w:tc>
        <w:tc>
          <w:tcPr>
            <w:tcW w:w="2126" w:type="dxa"/>
            <w:vAlign w:val="bottom"/>
          </w:tcPr>
          <w:p w14:paraId="57F9C950"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4 (2)*</w:t>
            </w:r>
          </w:p>
        </w:tc>
        <w:tc>
          <w:tcPr>
            <w:tcW w:w="2268" w:type="dxa"/>
            <w:vAlign w:val="bottom"/>
          </w:tcPr>
          <w:p w14:paraId="24ACD6BC"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50</w:t>
            </w:r>
          </w:p>
        </w:tc>
      </w:tr>
      <w:tr w:rsidR="00040C22" w:rsidRPr="00F22DFE" w14:paraId="5D532550" w14:textId="77777777" w:rsidTr="00040C22">
        <w:tc>
          <w:tcPr>
            <w:tcW w:w="4395" w:type="dxa"/>
          </w:tcPr>
          <w:p w14:paraId="1B4535CB" w14:textId="77777777" w:rsidR="00040C22" w:rsidRPr="00F22DFE" w:rsidRDefault="00040C22" w:rsidP="00040C22">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Računalna oprema</w:t>
            </w:r>
          </w:p>
        </w:tc>
        <w:tc>
          <w:tcPr>
            <w:tcW w:w="2126" w:type="dxa"/>
            <w:vAlign w:val="bottom"/>
          </w:tcPr>
          <w:p w14:paraId="492D611F"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2 (1)*</w:t>
            </w:r>
          </w:p>
        </w:tc>
        <w:tc>
          <w:tcPr>
            <w:tcW w:w="2268" w:type="dxa"/>
            <w:vAlign w:val="bottom"/>
          </w:tcPr>
          <w:p w14:paraId="6CF3BAD3"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100</w:t>
            </w:r>
          </w:p>
        </w:tc>
      </w:tr>
      <w:tr w:rsidR="00040C22" w:rsidRPr="00F22DFE" w14:paraId="61520FF1" w14:textId="77777777" w:rsidTr="00040C22">
        <w:tc>
          <w:tcPr>
            <w:tcW w:w="4395" w:type="dxa"/>
          </w:tcPr>
          <w:p w14:paraId="59CB6738" w14:textId="77777777" w:rsidR="00040C22" w:rsidRPr="00F22DFE" w:rsidRDefault="00040C22" w:rsidP="00040C22">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Transportna sredstva</w:t>
            </w:r>
          </w:p>
        </w:tc>
        <w:tc>
          <w:tcPr>
            <w:tcW w:w="2126" w:type="dxa"/>
            <w:vAlign w:val="bottom"/>
          </w:tcPr>
          <w:p w14:paraId="6B43C487"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4 (2)*</w:t>
            </w:r>
          </w:p>
        </w:tc>
        <w:tc>
          <w:tcPr>
            <w:tcW w:w="2268" w:type="dxa"/>
            <w:vAlign w:val="bottom"/>
          </w:tcPr>
          <w:p w14:paraId="21D7728B"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50</w:t>
            </w:r>
          </w:p>
        </w:tc>
      </w:tr>
      <w:tr w:rsidR="00040C22" w:rsidRPr="00F22DFE" w14:paraId="7B868D94" w14:textId="77777777" w:rsidTr="00040C22">
        <w:tc>
          <w:tcPr>
            <w:tcW w:w="4395" w:type="dxa"/>
          </w:tcPr>
          <w:p w14:paraId="243A7B67" w14:textId="77777777" w:rsidR="00040C22" w:rsidRPr="00F22DFE" w:rsidRDefault="00040C22" w:rsidP="00040C22">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Osobna vozila </w:t>
            </w:r>
          </w:p>
        </w:tc>
        <w:tc>
          <w:tcPr>
            <w:tcW w:w="2126" w:type="dxa"/>
            <w:vAlign w:val="bottom"/>
          </w:tcPr>
          <w:p w14:paraId="729CD2A4"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 xml:space="preserve">  5 (2,5)*</w:t>
            </w:r>
          </w:p>
        </w:tc>
        <w:tc>
          <w:tcPr>
            <w:tcW w:w="2268" w:type="dxa"/>
            <w:vAlign w:val="bottom"/>
          </w:tcPr>
          <w:p w14:paraId="0549CE93"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40</w:t>
            </w:r>
          </w:p>
        </w:tc>
      </w:tr>
      <w:tr w:rsidR="00040C22" w:rsidRPr="00F22DFE" w14:paraId="7B05CCCD" w14:textId="77777777" w:rsidTr="00040C22">
        <w:tc>
          <w:tcPr>
            <w:tcW w:w="4395" w:type="dxa"/>
          </w:tcPr>
          <w:p w14:paraId="73F25F19" w14:textId="77777777" w:rsidR="00040C22" w:rsidRPr="00F22DFE" w:rsidRDefault="00040C22" w:rsidP="00040C22">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Ostala imovina</w:t>
            </w:r>
          </w:p>
        </w:tc>
        <w:tc>
          <w:tcPr>
            <w:tcW w:w="2126" w:type="dxa"/>
            <w:vAlign w:val="bottom"/>
          </w:tcPr>
          <w:p w14:paraId="3437377F"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 xml:space="preserve">  5 (2,5)*</w:t>
            </w:r>
          </w:p>
        </w:tc>
        <w:tc>
          <w:tcPr>
            <w:tcW w:w="2268" w:type="dxa"/>
            <w:vAlign w:val="bottom"/>
          </w:tcPr>
          <w:p w14:paraId="4558CEE4" w14:textId="77777777" w:rsidR="00040C22" w:rsidRPr="00F22DFE" w:rsidRDefault="00040C22" w:rsidP="00040C22">
            <w:pPr>
              <w:spacing w:after="0" w:line="240" w:lineRule="auto"/>
              <w:jc w:val="center"/>
              <w:rPr>
                <w:rFonts w:ascii="Times New Roman" w:eastAsia="Times New Roman" w:hAnsi="Times New Roman" w:cs="Times New Roman"/>
              </w:rPr>
            </w:pPr>
            <w:r w:rsidRPr="00F22DFE">
              <w:rPr>
                <w:rFonts w:ascii="Times New Roman" w:eastAsia="Times New Roman" w:hAnsi="Times New Roman" w:cs="Times New Roman"/>
              </w:rPr>
              <w:t>20</w:t>
            </w:r>
          </w:p>
        </w:tc>
      </w:tr>
    </w:tbl>
    <w:p w14:paraId="17F5F5B1" w14:textId="77777777" w:rsidR="00131D13" w:rsidRPr="00F22DFE" w:rsidRDefault="00131D13" w:rsidP="00131D13">
      <w:pPr>
        <w:spacing w:after="0" w:line="240" w:lineRule="auto"/>
        <w:jc w:val="both"/>
        <w:rPr>
          <w:rFonts w:ascii="Times New Roman" w:eastAsia="Times New Roman" w:hAnsi="Times New Roman" w:cs="Times New Roman"/>
        </w:rPr>
      </w:pPr>
    </w:p>
    <w:p w14:paraId="21518C0A" w14:textId="77777777" w:rsidR="00A841B9" w:rsidRDefault="00A841B9" w:rsidP="00131D13">
      <w:pPr>
        <w:spacing w:after="0" w:line="240" w:lineRule="auto"/>
        <w:rPr>
          <w:rFonts w:ascii="Times New Roman" w:eastAsia="Times New Roman" w:hAnsi="Times New Roman" w:cs="Times New Roman"/>
        </w:rPr>
      </w:pPr>
    </w:p>
    <w:p w14:paraId="50761866"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Stavke nekretnina, postrojenja i opreme koje su rashodovane ili prodane isključene su iz bilance zajedno s pripadajućom akumuliranom amortizacijom. Bilo koji dobitak ili gubitak nastao pri prestanku priznavanja imovine se iskazuje u računu dobitka i gubitka u godini prestanka priznavanja.</w:t>
      </w:r>
    </w:p>
    <w:p w14:paraId="5D92E6CE" w14:textId="13A18B26" w:rsidR="00131D13"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Stvari i oprema evidentiraju se kao materijalna imovina sukladno zakonskim propisima ukoliko im je vijek uporabe duži od jedne godine, a pojedinačna nabavna cijena veća od  </w:t>
      </w:r>
      <w:r w:rsidR="008E0B8F">
        <w:rPr>
          <w:rFonts w:ascii="Times New Roman" w:eastAsia="Times New Roman" w:hAnsi="Times New Roman" w:cs="Times New Roman"/>
        </w:rPr>
        <w:t>665,00</w:t>
      </w:r>
      <w:r w:rsidR="00304251">
        <w:rPr>
          <w:rFonts w:ascii="Times New Roman" w:eastAsia="Times New Roman" w:hAnsi="Times New Roman" w:cs="Times New Roman"/>
        </w:rPr>
        <w:t xml:space="preserve"> EUR</w:t>
      </w:r>
      <w:r w:rsidRPr="00F22DFE">
        <w:rPr>
          <w:rFonts w:ascii="Times New Roman" w:eastAsia="Times New Roman" w:hAnsi="Times New Roman" w:cs="Times New Roman"/>
        </w:rPr>
        <w:t xml:space="preserve">. </w:t>
      </w:r>
    </w:p>
    <w:p w14:paraId="57A15B83" w14:textId="77777777" w:rsidR="00F5210A" w:rsidRDefault="00F5210A" w:rsidP="00131D13">
      <w:pPr>
        <w:spacing w:after="0" w:line="240" w:lineRule="auto"/>
        <w:rPr>
          <w:rFonts w:ascii="Times New Roman" w:eastAsia="Times New Roman" w:hAnsi="Times New Roman" w:cs="Times New Roman"/>
        </w:rPr>
      </w:pPr>
    </w:p>
    <w:p w14:paraId="18333A51"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2.11. </w:t>
      </w:r>
      <w:r w:rsidRPr="00F22DFE">
        <w:rPr>
          <w:rFonts w:ascii="Times New Roman" w:eastAsia="Times New Roman" w:hAnsi="Times New Roman" w:cs="Times New Roman"/>
          <w:b/>
        </w:rPr>
        <w:tab/>
        <w:t>Zalihe</w:t>
      </w:r>
    </w:p>
    <w:p w14:paraId="0050EA55" w14:textId="77777777" w:rsidR="00131D13" w:rsidRPr="000E4286" w:rsidRDefault="00131D13" w:rsidP="00131D13">
      <w:pPr>
        <w:spacing w:after="0" w:line="240" w:lineRule="auto"/>
        <w:jc w:val="both"/>
        <w:rPr>
          <w:rFonts w:ascii="Times New Roman" w:eastAsia="Times New Roman" w:hAnsi="Times New Roman" w:cs="Times New Roman"/>
        </w:rPr>
      </w:pPr>
    </w:p>
    <w:p w14:paraId="3B3A60A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Zalihe materijala i sitnog inventara iskazuju se u iznosima troškova nabave koji su potrebni za njihovo dovođenje na sadašnju lokaciju i u sadašnje stanje. Zalihe sitnog inventara i auto guma se otpisuju u 100%-</w:t>
      </w:r>
      <w:proofErr w:type="spellStart"/>
      <w:r w:rsidRPr="00F22DFE">
        <w:rPr>
          <w:rFonts w:ascii="Times New Roman" w:eastAsia="Times New Roman" w:hAnsi="Times New Roman" w:cs="Times New Roman"/>
        </w:rPr>
        <w:t>tnom</w:t>
      </w:r>
      <w:proofErr w:type="spellEnd"/>
      <w:r w:rsidRPr="00F22DFE">
        <w:rPr>
          <w:rFonts w:ascii="Times New Roman" w:eastAsia="Times New Roman" w:hAnsi="Times New Roman" w:cs="Times New Roman"/>
        </w:rPr>
        <w:t xml:space="preserve"> iznosu prilikom prijenosa u uporabu.</w:t>
      </w:r>
    </w:p>
    <w:p w14:paraId="499A0D51" w14:textId="77777777" w:rsidR="00131D13" w:rsidRPr="00F22DFE" w:rsidRDefault="00131D13" w:rsidP="00131D13">
      <w:pPr>
        <w:spacing w:after="0" w:line="240" w:lineRule="auto"/>
        <w:ind w:hanging="11"/>
        <w:jc w:val="both"/>
        <w:rPr>
          <w:rFonts w:ascii="Times New Roman" w:eastAsia="Times New Roman" w:hAnsi="Times New Roman" w:cs="Times New Roman"/>
        </w:rPr>
      </w:pPr>
      <w:r w:rsidRPr="00F22DFE">
        <w:rPr>
          <w:rFonts w:ascii="Times New Roman" w:eastAsia="Times New Roman" w:hAnsi="Times New Roman" w:cs="Times New Roman"/>
        </w:rPr>
        <w:t>Zalihe trgovačke robe iskazuju se po trošku nabave kojeg čini kupovna cijena prema fakturi dobavljača umanjena za iskazane popuste i ostale troškove kupnje koji se izravno mogu pripisati nabavci, kao što su troškovi prijevoza, ukrcaja i istovara robe, carine i druge uvozne pristojbe.</w:t>
      </w:r>
    </w:p>
    <w:p w14:paraId="35FDC088" w14:textId="77777777" w:rsidR="00131D13" w:rsidRDefault="00131D13" w:rsidP="00131D13">
      <w:pPr>
        <w:spacing w:after="0" w:line="240" w:lineRule="auto"/>
        <w:ind w:hanging="11"/>
        <w:jc w:val="both"/>
        <w:rPr>
          <w:rFonts w:ascii="Times New Roman" w:eastAsia="Times New Roman" w:hAnsi="Times New Roman" w:cs="Times New Roman"/>
        </w:rPr>
      </w:pPr>
      <w:r w:rsidRPr="00F22DFE">
        <w:rPr>
          <w:rFonts w:ascii="Times New Roman" w:eastAsia="Times New Roman" w:hAnsi="Times New Roman" w:cs="Times New Roman"/>
        </w:rPr>
        <w:t>Roba u maloprodaji iskazuje se u bruto bilančnim vrijednostima prema kalkulativnoj prodajnoj cijeni, tako da se istodobno osiguravaju podaci o razlici u cijeni (ukalkuliranoj marži) i porezu na dodanu vrijednost.</w:t>
      </w:r>
    </w:p>
    <w:p w14:paraId="5E03874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Usklađivanje vrijednosti zaliha vrši se krajem godine prilikom popisa ako dolazi do oštećenja, djelomičnog ili potpunog zastarijevanja i sličnih okolnosti.</w:t>
      </w:r>
    </w:p>
    <w:p w14:paraId="4869D6B5" w14:textId="45EE0C88" w:rsidR="00131D13" w:rsidRDefault="00131D13" w:rsidP="003C5F17">
      <w:pPr>
        <w:spacing w:after="0" w:line="240" w:lineRule="auto"/>
        <w:jc w:val="both"/>
        <w:rPr>
          <w:rFonts w:ascii="Times New Roman" w:eastAsia="Times New Roman" w:hAnsi="Times New Roman" w:cs="Times New Roman"/>
        </w:rPr>
      </w:pPr>
    </w:p>
    <w:p w14:paraId="1F5EB9C5"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2.12. </w:t>
      </w:r>
      <w:r w:rsidRPr="00F22DFE">
        <w:rPr>
          <w:rFonts w:ascii="Times New Roman" w:eastAsia="Times New Roman" w:hAnsi="Times New Roman" w:cs="Times New Roman"/>
          <w:b/>
        </w:rPr>
        <w:tab/>
        <w:t>Potraživanja temeljem prodaje</w:t>
      </w:r>
    </w:p>
    <w:p w14:paraId="10097025" w14:textId="77777777" w:rsidR="00131D13" w:rsidRPr="00F22DFE" w:rsidRDefault="00131D13" w:rsidP="00131D13">
      <w:pPr>
        <w:spacing w:after="0" w:line="240" w:lineRule="auto"/>
        <w:jc w:val="both"/>
        <w:rPr>
          <w:rFonts w:ascii="Times New Roman" w:eastAsia="Times New Roman" w:hAnsi="Times New Roman" w:cs="Times New Roman"/>
          <w:b/>
        </w:rPr>
      </w:pPr>
    </w:p>
    <w:p w14:paraId="551FEA0C"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Potraživanja temeljem prodaje obuhvaćaju sva potraživanja za izvršene usluge i isporučenu robu. </w:t>
      </w:r>
    </w:p>
    <w:p w14:paraId="4462A773"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Potraživanja iz poslovanja i ostala potraživanja se mjere po fer vrijednosti, a naknadno po trošku umanjenom za gubitke od umanjenja vrijednosti.</w:t>
      </w:r>
    </w:p>
    <w:p w14:paraId="17BEBF7F" w14:textId="77777777" w:rsidR="00131D13" w:rsidRPr="00D33D16" w:rsidRDefault="00BB29DA"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Na svaki datum bilance procjenjuje se postoji li objektivan dokaz o umanjenu vrijednosti pojedinog potraživanja. Ako postoji objektivan dokaz da Društvo neće moći naplatiti </w:t>
      </w:r>
      <w:r w:rsidR="00E955F2" w:rsidRPr="00D33D16">
        <w:rPr>
          <w:rFonts w:ascii="Times New Roman" w:eastAsia="Times New Roman" w:hAnsi="Times New Roman" w:cs="Times New Roman"/>
        </w:rPr>
        <w:t xml:space="preserve">svoja potraživanja provodi se ispravak vrijednosti upotrebom konta ispravka vrijednosti. </w:t>
      </w:r>
    </w:p>
    <w:p w14:paraId="0BC52104" w14:textId="77777777" w:rsidR="00E955F2" w:rsidRPr="00D33D16" w:rsidRDefault="00E955F2" w:rsidP="00131D13">
      <w:pPr>
        <w:spacing w:after="0" w:line="240" w:lineRule="auto"/>
        <w:jc w:val="both"/>
        <w:rPr>
          <w:rFonts w:ascii="Times New Roman" w:eastAsia="Times New Roman" w:hAnsi="Times New Roman" w:cs="Times New Roman"/>
        </w:rPr>
      </w:pPr>
    </w:p>
    <w:p w14:paraId="3763F6A4" w14:textId="55E7489E" w:rsidR="008E0B8F" w:rsidRPr="008E0B8F" w:rsidRDefault="008E0B8F" w:rsidP="008E0B8F">
      <w:pPr>
        <w:spacing w:after="0" w:line="240" w:lineRule="auto"/>
        <w:jc w:val="right"/>
        <w:rPr>
          <w:rFonts w:ascii="Times New Roman" w:eastAsia="Times New Roman" w:hAnsi="Times New Roman" w:cs="Times New Roman"/>
        </w:rPr>
      </w:pPr>
      <w:r w:rsidRPr="008E0B8F">
        <w:rPr>
          <w:rFonts w:ascii="Times New Roman" w:eastAsia="Times New Roman" w:hAnsi="Times New Roman" w:cs="Times New Roman"/>
        </w:rPr>
        <w:t>4</w:t>
      </w:r>
    </w:p>
    <w:p w14:paraId="10F9B025" w14:textId="77777777" w:rsidR="008E0B8F" w:rsidRDefault="008E0B8F" w:rsidP="00131D13">
      <w:pPr>
        <w:spacing w:after="0" w:line="240" w:lineRule="auto"/>
        <w:jc w:val="both"/>
        <w:rPr>
          <w:rFonts w:ascii="Times New Roman" w:eastAsia="Times New Roman" w:hAnsi="Times New Roman" w:cs="Times New Roman"/>
          <w:b/>
        </w:rPr>
      </w:pPr>
    </w:p>
    <w:p w14:paraId="24903A92" w14:textId="77777777" w:rsidR="00131D13" w:rsidRPr="00D33D16" w:rsidRDefault="00131D13"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2.13.</w:t>
      </w:r>
      <w:r w:rsidRPr="00D33D16">
        <w:rPr>
          <w:rFonts w:ascii="Times New Roman" w:eastAsia="Times New Roman" w:hAnsi="Times New Roman" w:cs="Times New Roman"/>
          <w:b/>
        </w:rPr>
        <w:tab/>
        <w:t>Novčana sredstva</w:t>
      </w:r>
    </w:p>
    <w:p w14:paraId="4C23BBA5" w14:textId="77777777" w:rsidR="00131D13" w:rsidRPr="00D33D16" w:rsidRDefault="00131D13" w:rsidP="00131D13">
      <w:pPr>
        <w:spacing w:after="0" w:line="240" w:lineRule="auto"/>
        <w:jc w:val="both"/>
        <w:rPr>
          <w:rFonts w:ascii="Times New Roman" w:eastAsia="Times New Roman" w:hAnsi="Times New Roman" w:cs="Times New Roman"/>
          <w:b/>
        </w:rPr>
      </w:pPr>
    </w:p>
    <w:p w14:paraId="11E28329"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Novac i novčani ekvivalenti sastoje se od novca u blagajni i na računima banaka. </w:t>
      </w:r>
    </w:p>
    <w:p w14:paraId="39CE63AF" w14:textId="77777777" w:rsidR="00131D13" w:rsidRPr="00D33D16" w:rsidRDefault="00131D13" w:rsidP="00131D13">
      <w:pPr>
        <w:spacing w:after="0" w:line="240" w:lineRule="auto"/>
        <w:jc w:val="both"/>
        <w:rPr>
          <w:rFonts w:ascii="Times New Roman" w:eastAsia="Times New Roman" w:hAnsi="Times New Roman" w:cs="Times New Roman"/>
        </w:rPr>
      </w:pPr>
    </w:p>
    <w:p w14:paraId="3DD2F55C" w14:textId="77777777" w:rsidR="00131D13" w:rsidRPr="00D33D16" w:rsidRDefault="00131D13"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2.14.</w:t>
      </w:r>
      <w:r w:rsidRPr="00D33D16">
        <w:rPr>
          <w:rFonts w:ascii="Times New Roman" w:eastAsia="Times New Roman" w:hAnsi="Times New Roman" w:cs="Times New Roman"/>
          <w:b/>
        </w:rPr>
        <w:tab/>
        <w:t>Obveze prema zaposlenim</w:t>
      </w:r>
    </w:p>
    <w:p w14:paraId="611B9A85" w14:textId="77777777" w:rsidR="00131D13" w:rsidRPr="00D33D16" w:rsidRDefault="00131D13" w:rsidP="00131D13">
      <w:pPr>
        <w:spacing w:after="0" w:line="240" w:lineRule="auto"/>
        <w:jc w:val="both"/>
        <w:rPr>
          <w:rFonts w:ascii="Times New Roman" w:eastAsia="Times New Roman" w:hAnsi="Times New Roman" w:cs="Times New Roman"/>
          <w:b/>
          <w:i/>
          <w:u w:val="single"/>
        </w:rPr>
      </w:pPr>
    </w:p>
    <w:p w14:paraId="7B03C0D2"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Obveze za neto plaće, za doprinose mirovinskim fondovima, fondu zdravstva i za ostale doprinose priznaju se kao trošak u razdoblju u kojem nastaju.</w:t>
      </w:r>
    </w:p>
    <w:p w14:paraId="5A0936B1"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U toku redovnog poslovanja prilikom isplata plaća Društvo u ime svojih zaposlenika koji su članovi obveznih fondova obavlja redovita plaćanja sukladno zakonskim propisima.</w:t>
      </w:r>
    </w:p>
    <w:p w14:paraId="2E840EA0"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Društvo nema obvezu osiguravanja bilo kojih drugih primanja zaposlenika nakon njihova umirovljenja.</w:t>
      </w:r>
    </w:p>
    <w:p w14:paraId="1B31E04D" w14:textId="77777777" w:rsidR="00E955F2" w:rsidRPr="00D33D16" w:rsidRDefault="00E955F2" w:rsidP="00131D13">
      <w:pPr>
        <w:spacing w:after="0" w:line="240" w:lineRule="auto"/>
        <w:jc w:val="both"/>
        <w:rPr>
          <w:rFonts w:ascii="Times New Roman" w:eastAsia="Times New Roman" w:hAnsi="Times New Roman" w:cs="Times New Roman"/>
        </w:rPr>
      </w:pPr>
    </w:p>
    <w:p w14:paraId="6376AB15" w14:textId="77777777" w:rsidR="00E955F2" w:rsidRPr="00D33D16" w:rsidRDefault="00E955F2"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2.15. Vremenska razgraničenja</w:t>
      </w:r>
    </w:p>
    <w:p w14:paraId="5A8E3EE9" w14:textId="77777777" w:rsidR="00E955F2" w:rsidRPr="00D33D16" w:rsidRDefault="00E955F2" w:rsidP="00131D13">
      <w:pPr>
        <w:spacing w:after="0" w:line="240" w:lineRule="auto"/>
        <w:jc w:val="both"/>
        <w:rPr>
          <w:rFonts w:ascii="Times New Roman" w:eastAsia="Times New Roman" w:hAnsi="Times New Roman" w:cs="Times New Roman"/>
          <w:b/>
        </w:rPr>
      </w:pPr>
    </w:p>
    <w:p w14:paraId="1E105B45" w14:textId="77777777" w:rsidR="00E955F2" w:rsidRPr="00D33D16" w:rsidRDefault="00E955F2"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Obuhvaćaju unaprijed plaćene troškove, nedospjelu naplatu prihoda, odgođeno plaćanje troškova i prihod budućeg razdoblja.</w:t>
      </w:r>
    </w:p>
    <w:p w14:paraId="748A2BBF" w14:textId="77777777" w:rsidR="00572307" w:rsidRPr="00D33D16" w:rsidRDefault="00572307" w:rsidP="00131D13">
      <w:pPr>
        <w:spacing w:after="0" w:line="240" w:lineRule="auto"/>
        <w:jc w:val="both"/>
        <w:rPr>
          <w:rFonts w:ascii="Times New Roman" w:eastAsia="Times New Roman" w:hAnsi="Times New Roman" w:cs="Times New Roman"/>
        </w:rPr>
      </w:pPr>
    </w:p>
    <w:p w14:paraId="65234122" w14:textId="77777777" w:rsidR="00F42FCB" w:rsidRDefault="00F42FCB" w:rsidP="00131D13">
      <w:pPr>
        <w:spacing w:after="0" w:line="240" w:lineRule="auto"/>
        <w:jc w:val="both"/>
        <w:rPr>
          <w:rFonts w:ascii="Times New Roman" w:eastAsia="Times New Roman" w:hAnsi="Times New Roman" w:cs="Times New Roman"/>
          <w:b/>
        </w:rPr>
      </w:pPr>
    </w:p>
    <w:p w14:paraId="58740084" w14:textId="77777777" w:rsidR="006B51F5" w:rsidRPr="00890AD6" w:rsidRDefault="006B51F5" w:rsidP="00131D13">
      <w:pPr>
        <w:spacing w:after="0" w:line="240" w:lineRule="auto"/>
        <w:jc w:val="both"/>
        <w:rPr>
          <w:rFonts w:ascii="Times New Roman" w:eastAsia="Times New Roman" w:hAnsi="Times New Roman" w:cs="Times New Roman"/>
          <w:b/>
        </w:rPr>
      </w:pPr>
      <w:r w:rsidRPr="00890AD6">
        <w:rPr>
          <w:rFonts w:ascii="Times New Roman" w:eastAsia="Times New Roman" w:hAnsi="Times New Roman" w:cs="Times New Roman"/>
          <w:b/>
        </w:rPr>
        <w:t>BILANCA</w:t>
      </w:r>
    </w:p>
    <w:p w14:paraId="7544ADED" w14:textId="77777777" w:rsidR="00131D13" w:rsidRPr="00890AD6" w:rsidRDefault="00131D13" w:rsidP="00131D13">
      <w:pPr>
        <w:spacing w:after="0" w:line="240" w:lineRule="auto"/>
        <w:jc w:val="right"/>
        <w:rPr>
          <w:rFonts w:ascii="Times New Roman" w:eastAsia="Times New Roman" w:hAnsi="Times New Roman" w:cs="Times New Roman"/>
        </w:rPr>
      </w:pPr>
    </w:p>
    <w:p w14:paraId="66D16577" w14:textId="77777777" w:rsidR="00131D13" w:rsidRPr="00890AD6" w:rsidRDefault="00131D13" w:rsidP="00131D13">
      <w:pPr>
        <w:spacing w:after="0" w:line="240" w:lineRule="auto"/>
        <w:jc w:val="both"/>
        <w:rPr>
          <w:rFonts w:ascii="Times New Roman" w:eastAsia="Times New Roman" w:hAnsi="Times New Roman" w:cs="Times New Roman"/>
          <w:b/>
        </w:rPr>
      </w:pPr>
      <w:r w:rsidRPr="00890AD6">
        <w:rPr>
          <w:rFonts w:ascii="Times New Roman" w:eastAsia="Times New Roman" w:hAnsi="Times New Roman" w:cs="Times New Roman"/>
          <w:b/>
        </w:rPr>
        <w:t>Bilješka 3.  Dugotrajna nematerijalna i materijalna  imovina</w:t>
      </w:r>
    </w:p>
    <w:p w14:paraId="1191013D" w14:textId="77777777" w:rsidR="00F42FCB" w:rsidRPr="00890AD6" w:rsidRDefault="00F42FCB" w:rsidP="00F42FCB">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p>
    <w:p w14:paraId="726A022C" w14:textId="77777777" w:rsidR="008E0B8F" w:rsidRPr="00890AD6" w:rsidRDefault="008E0B8F" w:rsidP="008E0B8F">
      <w:pPr>
        <w:spacing w:after="0" w:line="276" w:lineRule="auto"/>
        <w:contextualSpacing/>
        <w:jc w:val="both"/>
        <w:rPr>
          <w:rFonts w:ascii="Times New Roman" w:eastAsia="Times New Roman" w:hAnsi="Times New Roman" w:cs="Times New Roman"/>
          <w:noProof/>
        </w:rPr>
      </w:pPr>
    </w:p>
    <w:p w14:paraId="67E2534F" w14:textId="77777777" w:rsidR="008E0B8F" w:rsidRPr="00890AD6"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890AD6">
        <w:rPr>
          <w:rFonts w:ascii="Times New Roman" w:eastAsia="Calibri" w:hAnsi="Times New Roman" w:cs="Times New Roman"/>
          <w:b/>
          <w:lang w:eastAsia="hr-HR"/>
        </w:rPr>
        <w:t>Nematerijalna imovina</w:t>
      </w:r>
    </w:p>
    <w:p w14:paraId="70A2EB51" w14:textId="05E17E68" w:rsidR="008E0B8F" w:rsidRPr="00890AD6" w:rsidRDefault="008E0B8F" w:rsidP="008E0B8F">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Nematerijalna imovina u iznosu od 184.875</w:t>
      </w:r>
      <w:r w:rsidR="00D433F0" w:rsidRPr="00890AD6">
        <w:rPr>
          <w:rFonts w:ascii="Times New Roman" w:eastAsia="Calibri" w:hAnsi="Times New Roman" w:cs="Times New Roman"/>
        </w:rPr>
        <w:t>,12</w:t>
      </w:r>
      <w:r w:rsidRPr="00890AD6">
        <w:rPr>
          <w:rFonts w:ascii="Times New Roman" w:eastAsia="Calibri" w:hAnsi="Times New Roman" w:cs="Times New Roman"/>
        </w:rPr>
        <w:t xml:space="preserve"> EUR,  na dan 31.12.202</w:t>
      </w:r>
      <w:r w:rsidR="00D433F0" w:rsidRPr="00890AD6">
        <w:rPr>
          <w:rFonts w:ascii="Times New Roman" w:eastAsia="Calibri" w:hAnsi="Times New Roman" w:cs="Times New Roman"/>
        </w:rPr>
        <w:t>4</w:t>
      </w:r>
      <w:r w:rsidRPr="00890AD6">
        <w:rPr>
          <w:rFonts w:ascii="Times New Roman" w:eastAsia="Calibri" w:hAnsi="Times New Roman" w:cs="Times New Roman"/>
        </w:rPr>
        <w:t xml:space="preserve">. sastoji se od: </w:t>
      </w:r>
    </w:p>
    <w:p w14:paraId="352A78AA" w14:textId="36BB1FF8" w:rsidR="008E0B8F" w:rsidRPr="00890AD6" w:rsidRDefault="008E0B8F" w:rsidP="008E0B8F">
      <w:pPr>
        <w:numPr>
          <w:ilvl w:val="0"/>
          <w:numId w:val="4"/>
        </w:num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ulaganje na tuđoj imovini, licence i softver u iznosu od 166.139</w:t>
      </w:r>
      <w:r w:rsidR="00D433F0" w:rsidRPr="00890AD6">
        <w:rPr>
          <w:rFonts w:ascii="Times New Roman" w:eastAsia="Calibri" w:hAnsi="Times New Roman" w:cs="Times New Roman"/>
        </w:rPr>
        <w:t>,25</w:t>
      </w:r>
      <w:r w:rsidRPr="00890AD6">
        <w:rPr>
          <w:rFonts w:ascii="Times New Roman" w:eastAsia="Calibri" w:hAnsi="Times New Roman" w:cs="Times New Roman"/>
        </w:rPr>
        <w:t xml:space="preserve"> EUR, te bilježi smanjenje od 22% u odnosu na 2023. godinu s razlogom priznavanja amortizacije po udvostručenoj stopi kao rashod u svoti obračunatoj na trošak nabave.  </w:t>
      </w:r>
    </w:p>
    <w:p w14:paraId="3963DD83" w14:textId="19ADD53F" w:rsidR="008E0B8F" w:rsidRPr="00890AD6" w:rsidRDefault="008E0B8F" w:rsidP="008E0B8F">
      <w:pPr>
        <w:numPr>
          <w:ilvl w:val="0"/>
          <w:numId w:val="4"/>
        </w:num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nematerijalne imovine u pripremi u iznosu od 18.73</w:t>
      </w:r>
      <w:r w:rsidR="00D433F0" w:rsidRPr="00890AD6">
        <w:rPr>
          <w:rFonts w:ascii="Times New Roman" w:eastAsia="Calibri" w:hAnsi="Times New Roman" w:cs="Times New Roman"/>
        </w:rPr>
        <w:t>5,87</w:t>
      </w:r>
      <w:r w:rsidRPr="00890AD6">
        <w:rPr>
          <w:rFonts w:ascii="Times New Roman" w:eastAsia="Calibri" w:hAnsi="Times New Roman" w:cs="Times New Roman"/>
        </w:rPr>
        <w:t xml:space="preserve"> EUR (izdaci za daljnje proširenje gradskog groblja u Puli 12.58</w:t>
      </w:r>
      <w:r w:rsidR="00D433F0" w:rsidRPr="00890AD6">
        <w:rPr>
          <w:rFonts w:ascii="Times New Roman" w:eastAsia="Calibri" w:hAnsi="Times New Roman" w:cs="Times New Roman"/>
        </w:rPr>
        <w:t>3,87</w:t>
      </w:r>
      <w:r w:rsidRPr="00890AD6">
        <w:rPr>
          <w:rFonts w:ascii="Times New Roman" w:eastAsia="Calibri" w:hAnsi="Times New Roman" w:cs="Times New Roman"/>
        </w:rPr>
        <w:t xml:space="preserve"> EUR i  izdaci za daljnje proširenje groblja u </w:t>
      </w:r>
      <w:proofErr w:type="spellStart"/>
      <w:r w:rsidRPr="00890AD6">
        <w:rPr>
          <w:rFonts w:ascii="Times New Roman" w:eastAsia="Calibri" w:hAnsi="Times New Roman" w:cs="Times New Roman"/>
        </w:rPr>
        <w:t>Štinjanu</w:t>
      </w:r>
      <w:proofErr w:type="spellEnd"/>
      <w:r w:rsidRPr="00890AD6">
        <w:rPr>
          <w:rFonts w:ascii="Times New Roman" w:eastAsia="Calibri" w:hAnsi="Times New Roman" w:cs="Times New Roman"/>
        </w:rPr>
        <w:t xml:space="preserve"> 6.152</w:t>
      </w:r>
      <w:r w:rsidR="00D433F0" w:rsidRPr="00890AD6">
        <w:rPr>
          <w:rFonts w:ascii="Times New Roman" w:eastAsia="Calibri" w:hAnsi="Times New Roman" w:cs="Times New Roman"/>
        </w:rPr>
        <w:t>,00</w:t>
      </w:r>
      <w:r w:rsidRPr="00890AD6">
        <w:rPr>
          <w:rFonts w:ascii="Times New Roman" w:eastAsia="Calibri" w:hAnsi="Times New Roman" w:cs="Times New Roman"/>
        </w:rPr>
        <w:t xml:space="preserve"> EUR). </w:t>
      </w:r>
    </w:p>
    <w:p w14:paraId="12E2F4DA" w14:textId="72C612C0" w:rsidR="00247559" w:rsidRPr="00890AD6" w:rsidRDefault="00247559" w:rsidP="00247559">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p>
    <w:p w14:paraId="1B531FA9" w14:textId="77777777" w:rsidR="009F7755" w:rsidRPr="00890AD6"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890AD6">
        <w:rPr>
          <w:rFonts w:ascii="Times New Roman" w:eastAsia="Calibri" w:hAnsi="Times New Roman" w:cs="Times New Roman"/>
          <w:b/>
          <w:lang w:eastAsia="hr-HR"/>
        </w:rPr>
        <w:t>Materijalna imovina</w:t>
      </w:r>
    </w:p>
    <w:p w14:paraId="1050B657" w14:textId="3E9998E8" w:rsidR="008E0B8F" w:rsidRPr="00890AD6" w:rsidRDefault="008E0B8F" w:rsidP="008E0B8F">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Materijalna imovina je na kraju 2024. godine iznosila 98.10</w:t>
      </w:r>
      <w:r w:rsidR="00D433F0" w:rsidRPr="00890AD6">
        <w:rPr>
          <w:rFonts w:ascii="Times New Roman" w:eastAsia="Calibri" w:hAnsi="Times New Roman" w:cs="Times New Roman"/>
        </w:rPr>
        <w:t>2,80</w:t>
      </w:r>
      <w:r w:rsidRPr="00890AD6">
        <w:rPr>
          <w:rFonts w:ascii="Times New Roman" w:eastAsia="Calibri" w:hAnsi="Times New Roman" w:cs="Times New Roman"/>
        </w:rPr>
        <w:t xml:space="preserve"> EUR te je za 30% manja u odnosu na prethodnu godinu. Smanjenje materijalne imovine rezultat je priznavanja amortizacije po udvostručenim stopama, te </w:t>
      </w:r>
      <w:proofErr w:type="spellStart"/>
      <w:r w:rsidRPr="00890AD6">
        <w:rPr>
          <w:rFonts w:ascii="Times New Roman" w:eastAsia="Calibri" w:hAnsi="Times New Roman" w:cs="Times New Roman"/>
        </w:rPr>
        <w:t>isknjiženjem</w:t>
      </w:r>
      <w:proofErr w:type="spellEnd"/>
      <w:r w:rsidRPr="00890AD6">
        <w:rPr>
          <w:rFonts w:ascii="Times New Roman" w:eastAsia="Calibri" w:hAnsi="Times New Roman" w:cs="Times New Roman"/>
        </w:rPr>
        <w:t xml:space="preserve"> stana u Viškoj 24 u Puli, u iznosu od 17.867</w:t>
      </w:r>
      <w:r w:rsidR="00D433F0" w:rsidRPr="00890AD6">
        <w:rPr>
          <w:rFonts w:ascii="Times New Roman" w:eastAsia="Calibri" w:hAnsi="Times New Roman" w:cs="Times New Roman"/>
        </w:rPr>
        <w:t>,14</w:t>
      </w:r>
      <w:r w:rsidRPr="00890AD6">
        <w:rPr>
          <w:rFonts w:ascii="Times New Roman" w:eastAsia="Calibri" w:hAnsi="Times New Roman" w:cs="Times New Roman"/>
        </w:rPr>
        <w:t xml:space="preserve"> EUR. Spomenuta nekretnina nije u vlasništvu Društva i nema upisanih založnih prava na ime MONTE GIRO d.o.o. Pula , a sve temeljem revizorskog izvješća revizorskog društva </w:t>
      </w:r>
      <w:proofErr w:type="spellStart"/>
      <w:r w:rsidRPr="00890AD6">
        <w:rPr>
          <w:rFonts w:ascii="Times New Roman" w:eastAsia="Calibri" w:hAnsi="Times New Roman" w:cs="Times New Roman"/>
        </w:rPr>
        <w:t>Consultum</w:t>
      </w:r>
      <w:proofErr w:type="spellEnd"/>
      <w:r w:rsidRPr="00890AD6">
        <w:rPr>
          <w:rFonts w:ascii="Times New Roman" w:eastAsia="Calibri" w:hAnsi="Times New Roman" w:cs="Times New Roman"/>
        </w:rPr>
        <w:t xml:space="preserve"> </w:t>
      </w:r>
      <w:proofErr w:type="spellStart"/>
      <w:r w:rsidRPr="00890AD6">
        <w:rPr>
          <w:rFonts w:ascii="Times New Roman" w:eastAsia="Calibri" w:hAnsi="Times New Roman" w:cs="Times New Roman"/>
        </w:rPr>
        <w:t>Komparić</w:t>
      </w:r>
      <w:proofErr w:type="spellEnd"/>
      <w:r w:rsidRPr="00890AD6">
        <w:rPr>
          <w:rFonts w:ascii="Times New Roman" w:eastAsia="Calibri" w:hAnsi="Times New Roman" w:cs="Times New Roman"/>
        </w:rPr>
        <w:t xml:space="preserve"> d.o.o..  Nastalim </w:t>
      </w:r>
      <w:proofErr w:type="spellStart"/>
      <w:r w:rsidRPr="00890AD6">
        <w:rPr>
          <w:rFonts w:ascii="Times New Roman" w:eastAsia="Calibri" w:hAnsi="Times New Roman" w:cs="Times New Roman"/>
        </w:rPr>
        <w:t>isknjiženjem</w:t>
      </w:r>
      <w:proofErr w:type="spellEnd"/>
      <w:r w:rsidRPr="00890AD6">
        <w:rPr>
          <w:rFonts w:ascii="Times New Roman" w:eastAsia="Calibri" w:hAnsi="Times New Roman" w:cs="Times New Roman"/>
        </w:rPr>
        <w:t xml:space="preserve"> nije nastao trošak poslovanja, već je ispravljen odobreni kapital unijet u Društvo do upisanog kapitala u sudskom registru. U Elaboratu o proc</w:t>
      </w:r>
      <w:r w:rsidR="00E256F8">
        <w:rPr>
          <w:rFonts w:ascii="Times New Roman" w:eastAsia="Calibri" w:hAnsi="Times New Roman" w:cs="Times New Roman"/>
        </w:rPr>
        <w:t>i</w:t>
      </w:r>
      <w:r w:rsidRPr="00890AD6">
        <w:rPr>
          <w:rFonts w:ascii="Times New Roman" w:eastAsia="Calibri" w:hAnsi="Times New Roman" w:cs="Times New Roman"/>
        </w:rPr>
        <w:t>jenjenoj vrijednosti</w:t>
      </w:r>
      <w:r w:rsidR="00E256F8">
        <w:rPr>
          <w:rFonts w:ascii="Times New Roman" w:eastAsia="Calibri" w:hAnsi="Times New Roman" w:cs="Times New Roman"/>
        </w:rPr>
        <w:t xml:space="preserve"> </w:t>
      </w:r>
      <w:r w:rsidRPr="00890AD6">
        <w:rPr>
          <w:rFonts w:ascii="Times New Roman" w:eastAsia="Calibri" w:hAnsi="Times New Roman" w:cs="Times New Roman"/>
        </w:rPr>
        <w:t xml:space="preserve">javnog poduzeća „Pogrebne usluge“ </w:t>
      </w:r>
      <w:proofErr w:type="spellStart"/>
      <w:r w:rsidRPr="00890AD6">
        <w:rPr>
          <w:rFonts w:ascii="Times New Roman" w:eastAsia="Calibri" w:hAnsi="Times New Roman" w:cs="Times New Roman"/>
        </w:rPr>
        <w:t>p.o</w:t>
      </w:r>
      <w:proofErr w:type="spellEnd"/>
      <w:r w:rsidRPr="00890AD6">
        <w:rPr>
          <w:rFonts w:ascii="Times New Roman" w:eastAsia="Calibri" w:hAnsi="Times New Roman" w:cs="Times New Roman"/>
        </w:rPr>
        <w:t xml:space="preserve">. Pula iz svibnja 1993. godine je navedeno da odlukom organa upravljanja vrijednost stanova koja su iskazana na </w:t>
      </w:r>
      <w:proofErr w:type="spellStart"/>
      <w:r w:rsidRPr="00890AD6">
        <w:rPr>
          <w:rFonts w:ascii="Times New Roman" w:eastAsia="Calibri" w:hAnsi="Times New Roman" w:cs="Times New Roman"/>
        </w:rPr>
        <w:t>izvanposlovnoj</w:t>
      </w:r>
      <w:proofErr w:type="spellEnd"/>
      <w:r w:rsidRPr="00890AD6">
        <w:rPr>
          <w:rFonts w:ascii="Times New Roman" w:eastAsia="Calibri" w:hAnsi="Times New Roman" w:cs="Times New Roman"/>
        </w:rPr>
        <w:t xml:space="preserve"> aktivi i </w:t>
      </w:r>
      <w:proofErr w:type="spellStart"/>
      <w:r w:rsidRPr="00890AD6">
        <w:rPr>
          <w:rFonts w:ascii="Times New Roman" w:eastAsia="Calibri" w:hAnsi="Times New Roman" w:cs="Times New Roman"/>
        </w:rPr>
        <w:t>izvanposlovnoj</w:t>
      </w:r>
      <w:proofErr w:type="spellEnd"/>
      <w:r w:rsidRPr="00890AD6">
        <w:rPr>
          <w:rFonts w:ascii="Times New Roman" w:eastAsia="Calibri" w:hAnsi="Times New Roman" w:cs="Times New Roman"/>
        </w:rPr>
        <w:t xml:space="preserve"> pasivi ne ulaze u procijenjenu vrijednost poduzeća, te da je imovina prenijeta na općinski Fond, stoga predmetna vrijednost nije uključena u upisani i uplaćeni temeljni kapital što je vidljivo iz  registra Trgovačkog suda.</w:t>
      </w:r>
    </w:p>
    <w:p w14:paraId="034C700C" w14:textId="2A3E8A98" w:rsidR="00DE3E13" w:rsidRPr="00890AD6" w:rsidRDefault="00DE3E13" w:rsidP="00DE3E13">
      <w:pPr>
        <w:spacing w:after="0" w:line="276" w:lineRule="auto"/>
        <w:contextualSpacing/>
        <w:jc w:val="right"/>
        <w:rPr>
          <w:rFonts w:ascii="Times New Roman" w:eastAsia="Calibri" w:hAnsi="Times New Roman" w:cs="Times New Roman"/>
        </w:rPr>
      </w:pPr>
      <w:r w:rsidRPr="00890AD6">
        <w:rPr>
          <w:rFonts w:ascii="Times New Roman" w:eastAsia="Calibri" w:hAnsi="Times New Roman" w:cs="Times New Roman"/>
        </w:rPr>
        <w:t>5</w:t>
      </w:r>
    </w:p>
    <w:p w14:paraId="036FD52A" w14:textId="41C2BB47" w:rsidR="008E0B8F" w:rsidRPr="00890AD6" w:rsidRDefault="008E0B8F" w:rsidP="008E0B8F">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lastRenderedPageBreak/>
        <w:t>U 2024. godini rashodovana je amortizirana zastarjela i neispravna materijalna imovina u visini od 95.83</w:t>
      </w:r>
      <w:r w:rsidR="00D433F0" w:rsidRPr="00890AD6">
        <w:rPr>
          <w:rFonts w:ascii="Times New Roman" w:eastAsia="Calibri" w:hAnsi="Times New Roman" w:cs="Times New Roman"/>
        </w:rPr>
        <w:t>8,91</w:t>
      </w:r>
      <w:r w:rsidRPr="00890AD6">
        <w:rPr>
          <w:rFonts w:ascii="Times New Roman" w:eastAsia="Calibri" w:hAnsi="Times New Roman" w:cs="Times New Roman"/>
        </w:rPr>
        <w:t xml:space="preserve"> EUR.</w:t>
      </w:r>
    </w:p>
    <w:p w14:paraId="74517084" w14:textId="77777777" w:rsidR="008E0B8F" w:rsidRPr="00890AD6" w:rsidRDefault="008E0B8F" w:rsidP="008E0B8F">
      <w:pPr>
        <w:spacing w:after="240" w:line="276" w:lineRule="auto"/>
        <w:contextualSpacing/>
        <w:jc w:val="both"/>
        <w:rPr>
          <w:rFonts w:ascii="Times New Roman" w:eastAsia="Calibri" w:hAnsi="Times New Roman" w:cs="Times New Roman"/>
        </w:rPr>
      </w:pPr>
    </w:p>
    <w:p w14:paraId="735663FF" w14:textId="669763A4" w:rsidR="008E0B8F" w:rsidRPr="00890AD6" w:rsidRDefault="008E0B8F" w:rsidP="008E0B8F">
      <w:pPr>
        <w:spacing w:after="24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Investicije u dugotrajnu imovinu u 2024. godini iznosile su 125.050</w:t>
      </w:r>
      <w:r w:rsidR="00D433F0" w:rsidRPr="00890AD6">
        <w:rPr>
          <w:rFonts w:ascii="Times New Roman" w:eastAsia="Calibri" w:hAnsi="Times New Roman" w:cs="Times New Roman"/>
        </w:rPr>
        <w:t>,00</w:t>
      </w:r>
      <w:r w:rsidRPr="00890AD6">
        <w:rPr>
          <w:rFonts w:ascii="Times New Roman" w:eastAsia="Calibri" w:hAnsi="Times New Roman" w:cs="Times New Roman"/>
        </w:rPr>
        <w:t xml:space="preserve"> EUR, a odnose se na nabavu:</w:t>
      </w:r>
    </w:p>
    <w:p w14:paraId="54472B24" w14:textId="77777777" w:rsidR="008E0B8F" w:rsidRPr="00890AD6" w:rsidRDefault="008E0B8F" w:rsidP="008E0B8F">
      <w:pPr>
        <w:numPr>
          <w:ilvl w:val="0"/>
          <w:numId w:val="2"/>
        </w:numPr>
        <w:spacing w:after="0" w:line="276" w:lineRule="auto"/>
        <w:ind w:left="284" w:hanging="284"/>
        <w:contextualSpacing/>
        <w:jc w:val="both"/>
        <w:rPr>
          <w:rFonts w:ascii="Times New Roman" w:eastAsia="Calibri" w:hAnsi="Times New Roman" w:cs="Times New Roman"/>
        </w:rPr>
      </w:pPr>
      <w:r w:rsidRPr="00890AD6">
        <w:rPr>
          <w:rFonts w:ascii="Times New Roman" w:eastAsia="Calibri" w:hAnsi="Times New Roman" w:cs="Times New Roman"/>
        </w:rPr>
        <w:t xml:space="preserve">Izdaci za izradu dvostrukih malih niša i zemljanih grobna mjesta sa </w:t>
      </w:r>
    </w:p>
    <w:p w14:paraId="494EE782" w14:textId="58D6726D" w:rsidR="008E0B8F" w:rsidRPr="00890AD6" w:rsidRDefault="008E0B8F" w:rsidP="008E0B8F">
      <w:pPr>
        <w:spacing w:line="276" w:lineRule="auto"/>
        <w:ind w:left="284"/>
        <w:contextualSpacing/>
        <w:jc w:val="both"/>
        <w:rPr>
          <w:rFonts w:ascii="Times New Roman" w:eastAsia="Calibri" w:hAnsi="Times New Roman" w:cs="Times New Roman"/>
        </w:rPr>
      </w:pPr>
      <w:r w:rsidRPr="00890AD6">
        <w:rPr>
          <w:rFonts w:ascii="Times New Roman" w:eastAsia="Calibri" w:hAnsi="Times New Roman" w:cs="Times New Roman"/>
        </w:rPr>
        <w:t xml:space="preserve">temeljima na Gradskom groblju u Puli  </w:t>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t xml:space="preserve">       62.812</w:t>
      </w:r>
      <w:r w:rsidR="00D433F0" w:rsidRPr="00890AD6">
        <w:rPr>
          <w:rFonts w:ascii="Times New Roman" w:eastAsia="Calibri" w:hAnsi="Times New Roman" w:cs="Times New Roman"/>
        </w:rPr>
        <w:t>,00</w:t>
      </w:r>
      <w:r w:rsidRPr="00890AD6">
        <w:rPr>
          <w:rFonts w:ascii="Times New Roman" w:eastAsia="Calibri" w:hAnsi="Times New Roman" w:cs="Times New Roman"/>
        </w:rPr>
        <w:t xml:space="preserve"> EUR</w:t>
      </w:r>
    </w:p>
    <w:p w14:paraId="7314417D" w14:textId="2492D2B2" w:rsidR="008E0B8F" w:rsidRPr="00890AD6" w:rsidRDefault="008E0B8F" w:rsidP="008E0B8F">
      <w:pPr>
        <w:numPr>
          <w:ilvl w:val="0"/>
          <w:numId w:val="2"/>
        </w:numPr>
        <w:spacing w:after="0" w:line="276" w:lineRule="auto"/>
        <w:ind w:left="284" w:hanging="284"/>
        <w:contextualSpacing/>
        <w:jc w:val="both"/>
        <w:rPr>
          <w:rFonts w:ascii="Times New Roman" w:eastAsia="Calibri" w:hAnsi="Times New Roman" w:cs="Times New Roman"/>
        </w:rPr>
      </w:pPr>
      <w:r w:rsidRPr="00890AD6">
        <w:rPr>
          <w:rFonts w:ascii="Times New Roman" w:eastAsia="Calibri" w:hAnsi="Times New Roman" w:cs="Times New Roman"/>
        </w:rPr>
        <w:t>Izdaci za projektni razvoj Gradskog groblja Pula</w:t>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t xml:space="preserve">         7.420</w:t>
      </w:r>
      <w:r w:rsidR="00D433F0" w:rsidRPr="00890AD6">
        <w:rPr>
          <w:rFonts w:ascii="Times New Roman" w:eastAsia="Calibri" w:hAnsi="Times New Roman" w:cs="Times New Roman"/>
        </w:rPr>
        <w:t>,00</w:t>
      </w:r>
      <w:r w:rsidRPr="00890AD6">
        <w:rPr>
          <w:rFonts w:ascii="Times New Roman" w:eastAsia="Calibri" w:hAnsi="Times New Roman" w:cs="Times New Roman"/>
        </w:rPr>
        <w:t xml:space="preserve"> EUR</w:t>
      </w:r>
    </w:p>
    <w:p w14:paraId="6B213B63" w14:textId="2FA9BB3A" w:rsidR="008E0B8F" w:rsidRPr="00890AD6" w:rsidRDefault="008E0B8F" w:rsidP="008E0B8F">
      <w:pPr>
        <w:numPr>
          <w:ilvl w:val="0"/>
          <w:numId w:val="2"/>
        </w:numPr>
        <w:spacing w:after="0" w:line="276" w:lineRule="auto"/>
        <w:ind w:left="284" w:hanging="284"/>
        <w:contextualSpacing/>
        <w:jc w:val="both"/>
        <w:rPr>
          <w:rFonts w:ascii="Times New Roman" w:eastAsia="Calibri" w:hAnsi="Times New Roman" w:cs="Times New Roman"/>
        </w:rPr>
      </w:pPr>
      <w:r w:rsidRPr="00890AD6">
        <w:rPr>
          <w:rFonts w:ascii="Times New Roman" w:eastAsia="Calibri" w:hAnsi="Times New Roman" w:cs="Times New Roman"/>
        </w:rPr>
        <w:t xml:space="preserve">Izdaci za projektni razvoj Mjesnog groblja </w:t>
      </w:r>
      <w:proofErr w:type="spellStart"/>
      <w:r w:rsidRPr="00890AD6">
        <w:rPr>
          <w:rFonts w:ascii="Times New Roman" w:eastAsia="Calibri" w:hAnsi="Times New Roman" w:cs="Times New Roman"/>
        </w:rPr>
        <w:t>Štinjan</w:t>
      </w:r>
      <w:proofErr w:type="spellEnd"/>
      <w:r w:rsidRPr="00890AD6">
        <w:rPr>
          <w:rFonts w:ascii="Times New Roman" w:eastAsia="Calibri" w:hAnsi="Times New Roman" w:cs="Times New Roman"/>
        </w:rPr>
        <w:tab/>
        <w:t xml:space="preserve">                                                3.284</w:t>
      </w:r>
      <w:r w:rsidR="00D433F0" w:rsidRPr="00890AD6">
        <w:rPr>
          <w:rFonts w:ascii="Times New Roman" w:eastAsia="Calibri" w:hAnsi="Times New Roman" w:cs="Times New Roman"/>
        </w:rPr>
        <w:t>,00</w:t>
      </w:r>
      <w:r w:rsidRPr="00890AD6">
        <w:rPr>
          <w:rFonts w:ascii="Times New Roman" w:eastAsia="Calibri" w:hAnsi="Times New Roman" w:cs="Times New Roman"/>
        </w:rPr>
        <w:t xml:space="preserve"> EUR</w:t>
      </w:r>
    </w:p>
    <w:p w14:paraId="74F04337" w14:textId="1D805B44" w:rsidR="008E0B8F" w:rsidRPr="00890AD6" w:rsidRDefault="008E0B8F" w:rsidP="008E0B8F">
      <w:pPr>
        <w:numPr>
          <w:ilvl w:val="0"/>
          <w:numId w:val="2"/>
        </w:numPr>
        <w:spacing w:after="0" w:line="276" w:lineRule="auto"/>
        <w:ind w:left="284" w:hanging="284"/>
        <w:contextualSpacing/>
        <w:jc w:val="both"/>
        <w:rPr>
          <w:rFonts w:ascii="Times New Roman" w:eastAsia="Calibri" w:hAnsi="Times New Roman" w:cs="Times New Roman"/>
        </w:rPr>
      </w:pPr>
      <w:r w:rsidRPr="00890AD6">
        <w:rPr>
          <w:rFonts w:ascii="Times New Roman" w:eastAsia="Calibri" w:hAnsi="Times New Roman" w:cs="Times New Roman"/>
        </w:rPr>
        <w:t>Računalni softver</w:t>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t xml:space="preserve">      </w:t>
      </w:r>
      <w:r w:rsidR="00D433F0" w:rsidRPr="00890AD6">
        <w:rPr>
          <w:rFonts w:ascii="Times New Roman" w:eastAsia="Calibri" w:hAnsi="Times New Roman" w:cs="Times New Roman"/>
        </w:rPr>
        <w:t xml:space="preserve"> </w:t>
      </w:r>
      <w:r w:rsidRPr="00890AD6">
        <w:rPr>
          <w:rFonts w:ascii="Times New Roman" w:eastAsia="Calibri" w:hAnsi="Times New Roman" w:cs="Times New Roman"/>
        </w:rPr>
        <w:t xml:space="preserve"> 17.858</w:t>
      </w:r>
      <w:r w:rsidR="00D433F0" w:rsidRPr="00890AD6">
        <w:rPr>
          <w:rFonts w:ascii="Times New Roman" w:eastAsia="Calibri" w:hAnsi="Times New Roman" w:cs="Times New Roman"/>
        </w:rPr>
        <w:t>,00</w:t>
      </w:r>
      <w:r w:rsidRPr="00890AD6">
        <w:rPr>
          <w:rFonts w:ascii="Times New Roman" w:eastAsia="Calibri" w:hAnsi="Times New Roman" w:cs="Times New Roman"/>
        </w:rPr>
        <w:t xml:space="preserve"> EUR</w:t>
      </w:r>
    </w:p>
    <w:p w14:paraId="404F97BB" w14:textId="505F8D78" w:rsidR="008E0B8F" w:rsidRPr="00890AD6" w:rsidRDefault="008E0B8F" w:rsidP="008E0B8F">
      <w:pPr>
        <w:numPr>
          <w:ilvl w:val="0"/>
          <w:numId w:val="2"/>
        </w:numPr>
        <w:spacing w:after="0" w:line="276" w:lineRule="auto"/>
        <w:ind w:left="284" w:right="-426" w:hanging="284"/>
        <w:contextualSpacing/>
        <w:jc w:val="both"/>
        <w:rPr>
          <w:rFonts w:ascii="Times New Roman" w:eastAsia="Calibri" w:hAnsi="Times New Roman" w:cs="Times New Roman"/>
        </w:rPr>
      </w:pPr>
      <w:r w:rsidRPr="00890AD6">
        <w:rPr>
          <w:rFonts w:ascii="Times New Roman" w:eastAsia="Calibri" w:hAnsi="Times New Roman" w:cs="Times New Roman"/>
        </w:rPr>
        <w:t xml:space="preserve">Postrojenja i oprema </w:t>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r>
      <w:r w:rsidRPr="00890AD6">
        <w:rPr>
          <w:rFonts w:ascii="Times New Roman" w:eastAsia="Calibri" w:hAnsi="Times New Roman" w:cs="Times New Roman"/>
        </w:rPr>
        <w:tab/>
        <w:t xml:space="preserve"> </w:t>
      </w:r>
      <w:r w:rsidR="00D433F0" w:rsidRPr="00890AD6">
        <w:rPr>
          <w:rFonts w:ascii="Times New Roman" w:eastAsia="Calibri" w:hAnsi="Times New Roman" w:cs="Times New Roman"/>
        </w:rPr>
        <w:t xml:space="preserve"> </w:t>
      </w:r>
      <w:r w:rsidRPr="00890AD6">
        <w:rPr>
          <w:rFonts w:ascii="Times New Roman" w:eastAsia="Calibri" w:hAnsi="Times New Roman" w:cs="Times New Roman"/>
        </w:rPr>
        <w:t xml:space="preserve">      33.676</w:t>
      </w:r>
      <w:r w:rsidR="00D433F0" w:rsidRPr="00890AD6">
        <w:rPr>
          <w:rFonts w:ascii="Times New Roman" w:eastAsia="Calibri" w:hAnsi="Times New Roman" w:cs="Times New Roman"/>
        </w:rPr>
        <w:t>,00</w:t>
      </w:r>
      <w:r w:rsidRPr="00890AD6">
        <w:rPr>
          <w:rFonts w:ascii="Times New Roman" w:eastAsia="Calibri" w:hAnsi="Times New Roman" w:cs="Times New Roman"/>
        </w:rPr>
        <w:t xml:space="preserve">  EUR </w:t>
      </w:r>
      <w:r w:rsidRPr="00890AD6">
        <w:rPr>
          <w:rFonts w:ascii="Times New Roman" w:eastAsia="Calibri" w:hAnsi="Times New Roman" w:cs="Times New Roman"/>
        </w:rPr>
        <w:tab/>
      </w:r>
    </w:p>
    <w:p w14:paraId="32009EBE" w14:textId="77777777" w:rsidR="008E0B8F" w:rsidRPr="00890AD6" w:rsidRDefault="008E0B8F" w:rsidP="00F42FCB">
      <w:pPr>
        <w:spacing w:after="0" w:line="276" w:lineRule="auto"/>
        <w:contextualSpacing/>
        <w:jc w:val="both"/>
        <w:rPr>
          <w:rFonts w:ascii="Times New Roman" w:eastAsia="Calibri" w:hAnsi="Times New Roman" w:cs="Times New Roman"/>
          <w:color w:val="FF0000"/>
        </w:rPr>
      </w:pPr>
    </w:p>
    <w:p w14:paraId="305BEDE5" w14:textId="77777777" w:rsidR="008E0B8F" w:rsidRPr="00890AD6"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890AD6">
        <w:rPr>
          <w:rFonts w:ascii="Times New Roman" w:eastAsia="Calibri" w:hAnsi="Times New Roman" w:cs="Times New Roman"/>
          <w:b/>
          <w:lang w:eastAsia="hr-HR"/>
        </w:rPr>
        <w:t>Dugotrajna financijska imovina</w:t>
      </w:r>
    </w:p>
    <w:p w14:paraId="51C22F93" w14:textId="7CC31001" w:rsidR="008E0B8F" w:rsidRPr="00890AD6"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lang w:eastAsia="hr-HR"/>
        </w:rPr>
      </w:pPr>
      <w:r w:rsidRPr="00890AD6">
        <w:rPr>
          <w:rFonts w:ascii="Times New Roman" w:eastAsia="Calibri" w:hAnsi="Times New Roman" w:cs="Times New Roman"/>
          <w:lang w:eastAsia="hr-HR"/>
        </w:rPr>
        <w:t xml:space="preserve">Temeljem revizorskog izvješća revizorskog društva </w:t>
      </w:r>
      <w:proofErr w:type="spellStart"/>
      <w:r w:rsidRPr="00890AD6">
        <w:rPr>
          <w:rFonts w:ascii="Times New Roman" w:eastAsia="Calibri" w:hAnsi="Times New Roman" w:cs="Times New Roman"/>
          <w:lang w:eastAsia="hr-HR"/>
        </w:rPr>
        <w:t>Consultum</w:t>
      </w:r>
      <w:proofErr w:type="spellEnd"/>
      <w:r w:rsidRPr="00890AD6">
        <w:rPr>
          <w:rFonts w:ascii="Times New Roman" w:eastAsia="Calibri" w:hAnsi="Times New Roman" w:cs="Times New Roman"/>
          <w:lang w:eastAsia="hr-HR"/>
        </w:rPr>
        <w:t xml:space="preserve"> </w:t>
      </w:r>
      <w:proofErr w:type="spellStart"/>
      <w:r w:rsidRPr="00890AD6">
        <w:rPr>
          <w:rFonts w:ascii="Times New Roman" w:eastAsia="Calibri" w:hAnsi="Times New Roman" w:cs="Times New Roman"/>
          <w:lang w:eastAsia="hr-HR"/>
        </w:rPr>
        <w:t>Komparić</w:t>
      </w:r>
      <w:proofErr w:type="spellEnd"/>
      <w:r w:rsidRPr="00890AD6">
        <w:rPr>
          <w:rFonts w:ascii="Times New Roman" w:eastAsia="Calibri" w:hAnsi="Times New Roman" w:cs="Times New Roman"/>
          <w:lang w:eastAsia="hr-HR"/>
        </w:rPr>
        <w:t xml:space="preserve"> d.o.o. i ovjerene potvrde društva Vodoopskrbni sustav Istre -  vodovod </w:t>
      </w:r>
      <w:proofErr w:type="spellStart"/>
      <w:r w:rsidRPr="00890AD6">
        <w:rPr>
          <w:rFonts w:ascii="Times New Roman" w:eastAsia="Calibri" w:hAnsi="Times New Roman" w:cs="Times New Roman"/>
          <w:lang w:eastAsia="hr-HR"/>
        </w:rPr>
        <w:t>Butoniga</w:t>
      </w:r>
      <w:proofErr w:type="spellEnd"/>
      <w:r w:rsidRPr="00890AD6">
        <w:rPr>
          <w:rFonts w:ascii="Times New Roman" w:eastAsia="Calibri" w:hAnsi="Times New Roman" w:cs="Times New Roman"/>
          <w:lang w:eastAsia="hr-HR"/>
        </w:rPr>
        <w:t xml:space="preserve"> d.o.o. Buzet, potvrđeno je da MONTE GIRO d.o.o. nema poslovnih udjela u temeljnom kapitalu društva  Vodoopskrbni sustav Istre -  vodovod </w:t>
      </w:r>
      <w:proofErr w:type="spellStart"/>
      <w:r w:rsidRPr="00890AD6">
        <w:rPr>
          <w:rFonts w:ascii="Times New Roman" w:eastAsia="Calibri" w:hAnsi="Times New Roman" w:cs="Times New Roman"/>
          <w:lang w:eastAsia="hr-HR"/>
        </w:rPr>
        <w:t>Butoniga</w:t>
      </w:r>
      <w:proofErr w:type="spellEnd"/>
      <w:r w:rsidRPr="00890AD6">
        <w:rPr>
          <w:rFonts w:ascii="Times New Roman" w:eastAsia="Calibri" w:hAnsi="Times New Roman" w:cs="Times New Roman"/>
          <w:lang w:eastAsia="hr-HR"/>
        </w:rPr>
        <w:t xml:space="preserve"> d.o.o. Buzet. Slijedom navedenog potrebno je bilo </w:t>
      </w:r>
      <w:proofErr w:type="spellStart"/>
      <w:r w:rsidRPr="00890AD6">
        <w:rPr>
          <w:rFonts w:ascii="Times New Roman" w:eastAsia="Calibri" w:hAnsi="Times New Roman" w:cs="Times New Roman"/>
          <w:lang w:eastAsia="hr-HR"/>
        </w:rPr>
        <w:t>isknjižiti</w:t>
      </w:r>
      <w:proofErr w:type="spellEnd"/>
      <w:r w:rsidRPr="00890AD6">
        <w:rPr>
          <w:rFonts w:ascii="Times New Roman" w:eastAsia="Calibri" w:hAnsi="Times New Roman" w:cs="Times New Roman"/>
          <w:lang w:eastAsia="hr-HR"/>
        </w:rPr>
        <w:t xml:space="preserve"> knjigovodstvenu vrijednost u iznosu od 11</w:t>
      </w:r>
      <w:r w:rsidR="00D433F0" w:rsidRPr="00890AD6">
        <w:rPr>
          <w:rFonts w:ascii="Times New Roman" w:eastAsia="Calibri" w:hAnsi="Times New Roman" w:cs="Times New Roman"/>
          <w:lang w:eastAsia="hr-HR"/>
        </w:rPr>
        <w:t>,09</w:t>
      </w:r>
      <w:r w:rsidRPr="00890AD6">
        <w:rPr>
          <w:rFonts w:ascii="Times New Roman" w:eastAsia="Calibri" w:hAnsi="Times New Roman" w:cs="Times New Roman"/>
          <w:lang w:eastAsia="hr-HR"/>
        </w:rPr>
        <w:t xml:space="preserve"> EUR.</w:t>
      </w:r>
    </w:p>
    <w:p w14:paraId="0EC51381" w14:textId="692F1A24" w:rsidR="003501AD" w:rsidRPr="00890AD6" w:rsidRDefault="008E0B8F" w:rsidP="008E0B8F">
      <w:pPr>
        <w:keepNext/>
        <w:widowControl w:val="0"/>
        <w:spacing w:after="0" w:line="280" w:lineRule="exact"/>
        <w:jc w:val="both"/>
        <w:rPr>
          <w:rFonts w:ascii="Times New Roman" w:eastAsia="Times New Roman" w:hAnsi="Times New Roman" w:cs="Times New Roman"/>
          <w:b/>
        </w:rPr>
      </w:pPr>
      <w:r w:rsidRPr="00890AD6">
        <w:rPr>
          <w:rFonts w:ascii="Times New Roman" w:eastAsia="Times New Roman" w:hAnsi="Times New Roman" w:cs="Times New Roman"/>
        </w:rPr>
        <w:t xml:space="preserve">Istekom Ugovora o </w:t>
      </w:r>
      <w:proofErr w:type="spellStart"/>
      <w:r w:rsidRPr="00890AD6">
        <w:rPr>
          <w:rFonts w:ascii="Times New Roman" w:eastAsia="Times New Roman" w:hAnsi="Times New Roman" w:cs="Times New Roman"/>
        </w:rPr>
        <w:t>oročenju</w:t>
      </w:r>
      <w:proofErr w:type="spellEnd"/>
      <w:r w:rsidRPr="00890AD6">
        <w:rPr>
          <w:rFonts w:ascii="Times New Roman" w:eastAsia="Times New Roman" w:hAnsi="Times New Roman" w:cs="Times New Roman"/>
        </w:rPr>
        <w:t xml:space="preserve"> depozita u iznosu od 110.000</w:t>
      </w:r>
      <w:r w:rsidR="00D433F0" w:rsidRPr="00890AD6">
        <w:rPr>
          <w:rFonts w:ascii="Times New Roman" w:eastAsia="Times New Roman" w:hAnsi="Times New Roman" w:cs="Times New Roman"/>
        </w:rPr>
        <w:t>,00</w:t>
      </w:r>
      <w:r w:rsidRPr="00890AD6">
        <w:rPr>
          <w:rFonts w:ascii="Times New Roman" w:eastAsia="Times New Roman" w:hAnsi="Times New Roman" w:cs="Times New Roman"/>
        </w:rPr>
        <w:t xml:space="preserve"> EUR u KENT d.d. banci, Zagreb, sredstva su doznačena na poslovni račun Društva uz isplatu pripadajuće ugovorne kamate.</w:t>
      </w:r>
    </w:p>
    <w:p w14:paraId="4476F301" w14:textId="77777777" w:rsidR="008E0B8F" w:rsidRPr="00890AD6" w:rsidRDefault="008E0B8F" w:rsidP="00131D13">
      <w:pPr>
        <w:keepNext/>
        <w:widowControl w:val="0"/>
        <w:spacing w:after="0" w:line="280" w:lineRule="exact"/>
        <w:jc w:val="both"/>
        <w:rPr>
          <w:rFonts w:ascii="Times New Roman" w:eastAsia="Times New Roman" w:hAnsi="Times New Roman" w:cs="Times New Roman"/>
          <w:b/>
        </w:rPr>
      </w:pPr>
    </w:p>
    <w:p w14:paraId="6656AF88" w14:textId="77777777" w:rsidR="00131D13" w:rsidRPr="00890AD6" w:rsidRDefault="00131D13" w:rsidP="00131D13">
      <w:pPr>
        <w:keepNext/>
        <w:widowControl w:val="0"/>
        <w:spacing w:after="0" w:line="280" w:lineRule="exact"/>
        <w:jc w:val="both"/>
        <w:rPr>
          <w:rFonts w:ascii="Times New Roman" w:eastAsia="Times New Roman" w:hAnsi="Times New Roman" w:cs="Times New Roman"/>
          <w:b/>
        </w:rPr>
      </w:pPr>
      <w:r w:rsidRPr="00890AD6">
        <w:rPr>
          <w:rFonts w:ascii="Times New Roman" w:eastAsia="Times New Roman" w:hAnsi="Times New Roman" w:cs="Times New Roman"/>
          <w:b/>
        </w:rPr>
        <w:t>Bilješka 4. Zalihe</w:t>
      </w:r>
    </w:p>
    <w:p w14:paraId="4DC668A4" w14:textId="77777777" w:rsidR="00F42FCB" w:rsidRPr="00890AD6" w:rsidRDefault="00F42FCB" w:rsidP="00F42FCB">
      <w:pPr>
        <w:spacing w:after="0" w:line="276" w:lineRule="auto"/>
        <w:contextualSpacing/>
        <w:jc w:val="both"/>
        <w:rPr>
          <w:rFonts w:ascii="Times New Roman" w:eastAsia="Calibri" w:hAnsi="Times New Roman" w:cs="Times New Roman"/>
          <w:bCs/>
        </w:rPr>
      </w:pPr>
    </w:p>
    <w:p w14:paraId="60700819" w14:textId="77777777" w:rsidR="008E0B8F" w:rsidRPr="00890AD6"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890AD6">
        <w:rPr>
          <w:rFonts w:ascii="Times New Roman" w:eastAsia="Calibri" w:hAnsi="Times New Roman" w:cs="Times New Roman"/>
          <w:b/>
          <w:lang w:eastAsia="hr-HR"/>
        </w:rPr>
        <w:t>Zalihe</w:t>
      </w:r>
    </w:p>
    <w:p w14:paraId="44F385DE" w14:textId="77777777" w:rsidR="008E0B8F" w:rsidRPr="00890AD6" w:rsidRDefault="008E0B8F" w:rsidP="008E0B8F">
      <w:pPr>
        <w:spacing w:after="0" w:line="276" w:lineRule="auto"/>
        <w:contextualSpacing/>
        <w:jc w:val="both"/>
        <w:rPr>
          <w:rFonts w:ascii="Times New Roman" w:eastAsia="Calibri" w:hAnsi="Times New Roman" w:cs="Times New Roman"/>
          <w:bCs/>
        </w:rPr>
      </w:pPr>
      <w:r w:rsidRPr="00890AD6">
        <w:rPr>
          <w:rFonts w:ascii="Times New Roman" w:eastAsia="Calibri" w:hAnsi="Times New Roman" w:cs="Times New Roman"/>
          <w:bCs/>
        </w:rPr>
        <w:t>Društvo zalihe iskazuje po trošku nabave. Zalihe sitnog inventara otpisuju se jednokratno, dok  se utrošci istih rasterećuju metodom prosječno ponderirane nabavne cijene. Nadalje, zalihe prodane trgovačke robe Društvo iskazuje po prodajnim cijenama sa PDV-om i razlikom u cijeni, a prilikom prodaje iste trošak zaliha se utvrđuje putem razlike prodajne cijene, PDV-a i uključene razlike u cijeni.</w:t>
      </w:r>
    </w:p>
    <w:p w14:paraId="00C7A055" w14:textId="77777777" w:rsidR="008E0B8F" w:rsidRPr="00890AD6" w:rsidRDefault="008E0B8F" w:rsidP="008E0B8F">
      <w:pPr>
        <w:spacing w:after="0" w:line="276" w:lineRule="auto"/>
        <w:contextualSpacing/>
        <w:jc w:val="both"/>
        <w:rPr>
          <w:rFonts w:ascii="Times New Roman" w:eastAsia="Calibri" w:hAnsi="Times New Roman" w:cs="Times New Roman"/>
          <w:bCs/>
        </w:rPr>
      </w:pPr>
    </w:p>
    <w:p w14:paraId="2B6A0E6D" w14:textId="69D2C64A" w:rsidR="008E0B8F" w:rsidRPr="00890AD6" w:rsidRDefault="008E0B8F" w:rsidP="008E0B8F">
      <w:pPr>
        <w:spacing w:after="0" w:line="276" w:lineRule="auto"/>
        <w:contextualSpacing/>
        <w:jc w:val="both"/>
        <w:rPr>
          <w:rFonts w:ascii="Times New Roman" w:eastAsia="Calibri" w:hAnsi="Times New Roman" w:cs="Times New Roman"/>
          <w:bCs/>
        </w:rPr>
      </w:pPr>
      <w:r w:rsidRPr="00890AD6">
        <w:rPr>
          <w:rFonts w:ascii="Times New Roman" w:eastAsia="Calibri" w:hAnsi="Times New Roman" w:cs="Times New Roman"/>
          <w:bCs/>
        </w:rPr>
        <w:t>Na dan 31.12.2024. godine struktura zaliha (450.27</w:t>
      </w:r>
      <w:r w:rsidR="00D433F0" w:rsidRPr="00890AD6">
        <w:rPr>
          <w:rFonts w:ascii="Times New Roman" w:eastAsia="Calibri" w:hAnsi="Times New Roman" w:cs="Times New Roman"/>
          <w:bCs/>
        </w:rPr>
        <w:t>4,82</w:t>
      </w:r>
      <w:r w:rsidRPr="00890AD6">
        <w:rPr>
          <w:rFonts w:ascii="Times New Roman" w:eastAsia="Calibri" w:hAnsi="Times New Roman" w:cs="Times New Roman"/>
          <w:bCs/>
        </w:rPr>
        <w:t xml:space="preserve"> EUR) je bila sljedeća:</w:t>
      </w:r>
    </w:p>
    <w:p w14:paraId="1EB83268" w14:textId="77777777" w:rsidR="008E0B8F" w:rsidRPr="008E0B8F" w:rsidRDefault="008E0B8F" w:rsidP="008E0B8F">
      <w:pPr>
        <w:spacing w:after="0" w:line="276" w:lineRule="auto"/>
        <w:contextualSpacing/>
        <w:jc w:val="both"/>
        <w:rPr>
          <w:rFonts w:ascii="Cambria" w:eastAsia="Calibri" w:hAnsi="Cambria" w:cs="Times New Roman"/>
          <w:bCs/>
        </w:rPr>
      </w:pPr>
    </w:p>
    <w:tbl>
      <w:tblPr>
        <w:tblW w:w="4375" w:type="pct"/>
        <w:jc w:val="center"/>
        <w:tblLook w:val="04A0" w:firstRow="1" w:lastRow="0" w:firstColumn="1" w:lastColumn="0" w:noHBand="0" w:noVBand="1"/>
      </w:tblPr>
      <w:tblGrid>
        <w:gridCol w:w="6195"/>
        <w:gridCol w:w="1743"/>
      </w:tblGrid>
      <w:tr w:rsidR="008E0B8F" w:rsidRPr="008E0B8F" w14:paraId="1B9E834A" w14:textId="77777777" w:rsidTr="00890AD6">
        <w:trPr>
          <w:trHeight w:val="315"/>
          <w:jc w:val="center"/>
        </w:trPr>
        <w:tc>
          <w:tcPr>
            <w:tcW w:w="3902" w:type="pct"/>
            <w:tcBorders>
              <w:top w:val="nil"/>
              <w:left w:val="nil"/>
              <w:bottom w:val="nil"/>
              <w:right w:val="single" w:sz="12" w:space="0" w:color="FFFFFF"/>
            </w:tcBorders>
            <w:shd w:val="clear" w:color="auto" w:fill="F2F2F2"/>
            <w:vAlign w:val="center"/>
          </w:tcPr>
          <w:p w14:paraId="1B728C36"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Sirovine i materijal u skladištu (pogrebna oprema i Radiona vijenaca)</w:t>
            </w:r>
          </w:p>
        </w:tc>
        <w:tc>
          <w:tcPr>
            <w:tcW w:w="1098" w:type="pct"/>
          </w:tcPr>
          <w:p w14:paraId="1479B196" w14:textId="6F84B597" w:rsidR="008E0B8F" w:rsidRPr="00890AD6" w:rsidRDefault="008E0B8F"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56.40</w:t>
            </w:r>
            <w:r w:rsidR="00D433F0" w:rsidRPr="00890AD6">
              <w:rPr>
                <w:rFonts w:ascii="Times New Roman" w:eastAsia="Calibri" w:hAnsi="Times New Roman" w:cs="Times New Roman"/>
                <w:sz w:val="20"/>
                <w:szCs w:val="20"/>
              </w:rPr>
              <w:t>6,45</w:t>
            </w:r>
          </w:p>
        </w:tc>
      </w:tr>
      <w:tr w:rsidR="008E0B8F" w:rsidRPr="008E0B8F" w14:paraId="18D628F4" w14:textId="77777777" w:rsidTr="00890AD6">
        <w:trPr>
          <w:trHeight w:val="315"/>
          <w:jc w:val="center"/>
        </w:trPr>
        <w:tc>
          <w:tcPr>
            <w:tcW w:w="3902" w:type="pct"/>
            <w:tcBorders>
              <w:top w:val="nil"/>
              <w:left w:val="nil"/>
              <w:bottom w:val="nil"/>
              <w:right w:val="single" w:sz="12" w:space="0" w:color="FFFFFF"/>
            </w:tcBorders>
            <w:shd w:val="clear" w:color="auto" w:fill="auto"/>
            <w:vAlign w:val="center"/>
          </w:tcPr>
          <w:p w14:paraId="2B1F5F69"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Sitan inventar u upotrebi</w:t>
            </w:r>
          </w:p>
        </w:tc>
        <w:tc>
          <w:tcPr>
            <w:tcW w:w="1098" w:type="pct"/>
          </w:tcPr>
          <w:p w14:paraId="6D9C1B74" w14:textId="5137480F" w:rsidR="008E0B8F" w:rsidRPr="00890AD6" w:rsidRDefault="008E0B8F" w:rsidP="008E0B8F">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85.643</w:t>
            </w:r>
            <w:r w:rsidR="00D433F0" w:rsidRPr="00890AD6">
              <w:rPr>
                <w:rFonts w:ascii="Times New Roman" w:eastAsia="Calibri" w:hAnsi="Times New Roman" w:cs="Times New Roman"/>
                <w:sz w:val="20"/>
                <w:szCs w:val="20"/>
              </w:rPr>
              <w:t>,15</w:t>
            </w:r>
          </w:p>
        </w:tc>
      </w:tr>
      <w:tr w:rsidR="008E0B8F" w:rsidRPr="008E0B8F" w14:paraId="715445A6" w14:textId="77777777" w:rsidTr="00890AD6">
        <w:trPr>
          <w:trHeight w:val="300"/>
          <w:jc w:val="center"/>
        </w:trPr>
        <w:tc>
          <w:tcPr>
            <w:tcW w:w="3902" w:type="pct"/>
            <w:tcBorders>
              <w:top w:val="nil"/>
              <w:left w:val="nil"/>
              <w:bottom w:val="nil"/>
              <w:right w:val="single" w:sz="12" w:space="0" w:color="FFFFFF"/>
            </w:tcBorders>
            <w:shd w:val="clear" w:color="auto" w:fill="F2F2F2"/>
            <w:vAlign w:val="center"/>
          </w:tcPr>
          <w:p w14:paraId="6AEDDD33"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Ispravak vrijednosti sitnog inventara</w:t>
            </w:r>
          </w:p>
        </w:tc>
        <w:tc>
          <w:tcPr>
            <w:tcW w:w="1098" w:type="pct"/>
          </w:tcPr>
          <w:p w14:paraId="424BCF16" w14:textId="50D437FF" w:rsidR="008E0B8F" w:rsidRPr="00890AD6" w:rsidRDefault="008E0B8F" w:rsidP="008E0B8F">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(85.643</w:t>
            </w:r>
            <w:r w:rsidR="00D433F0" w:rsidRPr="00890AD6">
              <w:rPr>
                <w:rFonts w:ascii="Times New Roman" w:eastAsia="Calibri" w:hAnsi="Times New Roman" w:cs="Times New Roman"/>
                <w:sz w:val="20"/>
                <w:szCs w:val="20"/>
              </w:rPr>
              <w:t>,15</w:t>
            </w:r>
            <w:r w:rsidRPr="00890AD6">
              <w:rPr>
                <w:rFonts w:ascii="Times New Roman" w:eastAsia="Calibri" w:hAnsi="Times New Roman" w:cs="Times New Roman"/>
                <w:sz w:val="20"/>
                <w:szCs w:val="20"/>
              </w:rPr>
              <w:t>)</w:t>
            </w:r>
          </w:p>
        </w:tc>
      </w:tr>
      <w:tr w:rsidR="008E0B8F" w:rsidRPr="008E0B8F" w14:paraId="597DEB98" w14:textId="77777777" w:rsidTr="00890AD6">
        <w:trPr>
          <w:trHeight w:val="315"/>
          <w:jc w:val="center"/>
        </w:trPr>
        <w:tc>
          <w:tcPr>
            <w:tcW w:w="3902" w:type="pct"/>
            <w:tcBorders>
              <w:top w:val="nil"/>
              <w:left w:val="nil"/>
              <w:bottom w:val="nil"/>
              <w:right w:val="single" w:sz="12" w:space="0" w:color="FFFFFF"/>
            </w:tcBorders>
            <w:shd w:val="clear" w:color="auto" w:fill="auto"/>
            <w:vAlign w:val="center"/>
          </w:tcPr>
          <w:p w14:paraId="4900D628"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 xml:space="preserve">Grobna mjesta </w:t>
            </w:r>
          </w:p>
        </w:tc>
        <w:tc>
          <w:tcPr>
            <w:tcW w:w="1098" w:type="pct"/>
          </w:tcPr>
          <w:p w14:paraId="4024A941" w14:textId="78751597" w:rsidR="008E0B8F" w:rsidRPr="00890AD6" w:rsidRDefault="008E0B8F" w:rsidP="008E0B8F">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494.397</w:t>
            </w:r>
            <w:r w:rsidR="00D433F0" w:rsidRPr="00890AD6">
              <w:rPr>
                <w:rFonts w:ascii="Times New Roman" w:eastAsia="Calibri" w:hAnsi="Times New Roman" w:cs="Times New Roman"/>
                <w:sz w:val="20"/>
                <w:szCs w:val="20"/>
              </w:rPr>
              <w:t>,42</w:t>
            </w:r>
          </w:p>
        </w:tc>
      </w:tr>
      <w:tr w:rsidR="008E0B8F" w:rsidRPr="008E0B8F" w14:paraId="20674C3F" w14:textId="77777777" w:rsidTr="00890AD6">
        <w:trPr>
          <w:trHeight w:val="300"/>
          <w:jc w:val="center"/>
        </w:trPr>
        <w:tc>
          <w:tcPr>
            <w:tcW w:w="3902" w:type="pct"/>
            <w:tcBorders>
              <w:top w:val="nil"/>
              <w:left w:val="nil"/>
              <w:bottom w:val="nil"/>
              <w:right w:val="single" w:sz="12" w:space="0" w:color="FFFFFF"/>
            </w:tcBorders>
            <w:shd w:val="clear" w:color="auto" w:fill="F2F2F2"/>
            <w:vAlign w:val="center"/>
          </w:tcPr>
          <w:p w14:paraId="4EC3FCE9"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Ukalkulirana razlika u cijeni robe (grobna mjesta)</w:t>
            </w:r>
          </w:p>
        </w:tc>
        <w:tc>
          <w:tcPr>
            <w:tcW w:w="1098" w:type="pct"/>
          </w:tcPr>
          <w:p w14:paraId="4FCA568D" w14:textId="3ECA2789" w:rsidR="008E0B8F" w:rsidRPr="00890AD6" w:rsidRDefault="008E0B8F" w:rsidP="008E0B8F">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(113.309</w:t>
            </w:r>
            <w:r w:rsidR="00D433F0" w:rsidRPr="00890AD6">
              <w:rPr>
                <w:rFonts w:ascii="Times New Roman" w:eastAsia="Calibri" w:hAnsi="Times New Roman" w:cs="Times New Roman"/>
                <w:sz w:val="20"/>
                <w:szCs w:val="20"/>
              </w:rPr>
              <w:t>,22</w:t>
            </w:r>
            <w:r w:rsidRPr="00890AD6">
              <w:rPr>
                <w:rFonts w:ascii="Times New Roman" w:eastAsia="Calibri" w:hAnsi="Times New Roman" w:cs="Times New Roman"/>
                <w:sz w:val="20"/>
                <w:szCs w:val="20"/>
              </w:rPr>
              <w:t>)</w:t>
            </w:r>
          </w:p>
        </w:tc>
      </w:tr>
      <w:tr w:rsidR="008E0B8F" w:rsidRPr="008E0B8F" w14:paraId="31460CD2" w14:textId="77777777" w:rsidTr="00890AD6">
        <w:trPr>
          <w:trHeight w:val="300"/>
          <w:jc w:val="center"/>
        </w:trPr>
        <w:tc>
          <w:tcPr>
            <w:tcW w:w="3902" w:type="pct"/>
            <w:tcBorders>
              <w:top w:val="nil"/>
              <w:left w:val="nil"/>
              <w:bottom w:val="nil"/>
              <w:right w:val="single" w:sz="12" w:space="0" w:color="FFFFFF"/>
            </w:tcBorders>
            <w:shd w:val="clear" w:color="auto" w:fill="auto"/>
            <w:vAlign w:val="center"/>
          </w:tcPr>
          <w:p w14:paraId="35E4CB61" w14:textId="77777777" w:rsidR="008E0B8F" w:rsidRPr="00890AD6" w:rsidRDefault="008E0B8F" w:rsidP="008E0B8F">
            <w:pPr>
              <w:spacing w:after="0" w:line="240" w:lineRule="auto"/>
              <w:ind w:left="-142" w:firstLine="142"/>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 xml:space="preserve">Roba u prodavaonici </w:t>
            </w:r>
            <w:proofErr w:type="spellStart"/>
            <w:r w:rsidRPr="00890AD6">
              <w:rPr>
                <w:rFonts w:ascii="Times New Roman" w:eastAsia="Times New Roman" w:hAnsi="Times New Roman" w:cs="Times New Roman"/>
                <w:sz w:val="18"/>
                <w:szCs w:val="18"/>
                <w:lang w:eastAsia="hr-HR"/>
              </w:rPr>
              <w:t>Dalia</w:t>
            </w:r>
            <w:proofErr w:type="spellEnd"/>
            <w:r w:rsidRPr="00890AD6">
              <w:rPr>
                <w:rFonts w:ascii="Times New Roman" w:eastAsia="Times New Roman" w:hAnsi="Times New Roman" w:cs="Times New Roman"/>
                <w:sz w:val="18"/>
                <w:szCs w:val="18"/>
                <w:lang w:eastAsia="hr-HR"/>
              </w:rPr>
              <w:t xml:space="preserve">  (trgovina)</w:t>
            </w:r>
          </w:p>
        </w:tc>
        <w:tc>
          <w:tcPr>
            <w:tcW w:w="1098" w:type="pct"/>
          </w:tcPr>
          <w:p w14:paraId="255B0E73" w14:textId="6C5B78FA" w:rsidR="008E0B8F" w:rsidRPr="00890AD6" w:rsidRDefault="008E0B8F" w:rsidP="008E0B8F">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28.296</w:t>
            </w:r>
            <w:r w:rsidR="00D433F0" w:rsidRPr="00890AD6">
              <w:rPr>
                <w:rFonts w:ascii="Times New Roman" w:eastAsia="Calibri" w:hAnsi="Times New Roman" w:cs="Times New Roman"/>
                <w:sz w:val="20"/>
                <w:szCs w:val="20"/>
              </w:rPr>
              <w:t>,00</w:t>
            </w:r>
          </w:p>
        </w:tc>
      </w:tr>
      <w:tr w:rsidR="008E0B8F" w:rsidRPr="008E0B8F" w14:paraId="2E54C25A" w14:textId="77777777" w:rsidTr="00890AD6">
        <w:trPr>
          <w:trHeight w:val="300"/>
          <w:jc w:val="center"/>
        </w:trPr>
        <w:tc>
          <w:tcPr>
            <w:tcW w:w="3902" w:type="pct"/>
            <w:tcBorders>
              <w:top w:val="nil"/>
              <w:left w:val="nil"/>
              <w:bottom w:val="nil"/>
              <w:right w:val="single" w:sz="12" w:space="0" w:color="FFFFFF"/>
            </w:tcBorders>
            <w:shd w:val="clear" w:color="auto" w:fill="F2F2F2"/>
            <w:vAlign w:val="center"/>
          </w:tcPr>
          <w:p w14:paraId="6766B339"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Ukalkulirana razlika u cijeni robe u trgovini</w:t>
            </w:r>
          </w:p>
        </w:tc>
        <w:tc>
          <w:tcPr>
            <w:tcW w:w="1098" w:type="pct"/>
          </w:tcPr>
          <w:p w14:paraId="69F670DD" w14:textId="0C3CF03B" w:rsidR="008E0B8F" w:rsidRPr="00890AD6" w:rsidRDefault="008E0B8F" w:rsidP="008E0B8F">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(10.472</w:t>
            </w:r>
            <w:r w:rsidR="00D433F0" w:rsidRPr="00890AD6">
              <w:rPr>
                <w:rFonts w:ascii="Times New Roman" w:eastAsia="Calibri" w:hAnsi="Times New Roman" w:cs="Times New Roman"/>
                <w:sz w:val="20"/>
                <w:szCs w:val="20"/>
              </w:rPr>
              <w:t>,21</w:t>
            </w:r>
            <w:r w:rsidRPr="00890AD6">
              <w:rPr>
                <w:rFonts w:ascii="Times New Roman" w:eastAsia="Calibri" w:hAnsi="Times New Roman" w:cs="Times New Roman"/>
                <w:sz w:val="20"/>
                <w:szCs w:val="20"/>
              </w:rPr>
              <w:t>)</w:t>
            </w:r>
          </w:p>
        </w:tc>
      </w:tr>
      <w:tr w:rsidR="008E0B8F" w:rsidRPr="008E0B8F" w14:paraId="75E32B31" w14:textId="77777777" w:rsidTr="00890AD6">
        <w:trPr>
          <w:trHeight w:val="228"/>
          <w:jc w:val="center"/>
        </w:trPr>
        <w:tc>
          <w:tcPr>
            <w:tcW w:w="3902" w:type="pct"/>
            <w:tcBorders>
              <w:top w:val="nil"/>
              <w:left w:val="nil"/>
              <w:bottom w:val="nil"/>
              <w:right w:val="single" w:sz="12" w:space="0" w:color="FFFFFF"/>
            </w:tcBorders>
            <w:shd w:val="clear" w:color="auto" w:fill="auto"/>
            <w:vAlign w:val="center"/>
          </w:tcPr>
          <w:p w14:paraId="04B0B809"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Ukalkulirani porez na dodanu vrijednost</w:t>
            </w:r>
          </w:p>
        </w:tc>
        <w:tc>
          <w:tcPr>
            <w:tcW w:w="1098" w:type="pct"/>
          </w:tcPr>
          <w:p w14:paraId="0A90F3BC" w14:textId="4E4AC586" w:rsidR="008E0B8F" w:rsidRPr="00890AD6" w:rsidRDefault="008E0B8F"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(5.52</w:t>
            </w:r>
            <w:r w:rsidR="00D433F0" w:rsidRPr="00890AD6">
              <w:rPr>
                <w:rFonts w:ascii="Times New Roman" w:eastAsia="Calibri" w:hAnsi="Times New Roman" w:cs="Times New Roman"/>
                <w:sz w:val="20"/>
                <w:szCs w:val="20"/>
              </w:rPr>
              <w:t>0,74</w:t>
            </w:r>
            <w:r w:rsidRPr="00890AD6">
              <w:rPr>
                <w:rFonts w:ascii="Times New Roman" w:eastAsia="Calibri" w:hAnsi="Times New Roman" w:cs="Times New Roman"/>
                <w:sz w:val="20"/>
                <w:szCs w:val="20"/>
              </w:rPr>
              <w:t>)</w:t>
            </w:r>
          </w:p>
        </w:tc>
      </w:tr>
      <w:tr w:rsidR="008E0B8F" w:rsidRPr="008E0B8F" w14:paraId="19B3094E" w14:textId="77777777" w:rsidTr="00890AD6">
        <w:trPr>
          <w:trHeight w:val="228"/>
          <w:jc w:val="center"/>
        </w:trPr>
        <w:tc>
          <w:tcPr>
            <w:tcW w:w="3902" w:type="pct"/>
            <w:tcBorders>
              <w:top w:val="nil"/>
              <w:left w:val="nil"/>
              <w:bottom w:val="nil"/>
              <w:right w:val="single" w:sz="12" w:space="0" w:color="FFFFFF"/>
            </w:tcBorders>
            <w:shd w:val="clear" w:color="auto" w:fill="auto"/>
            <w:vAlign w:val="center"/>
          </w:tcPr>
          <w:p w14:paraId="26FCE3F9" w14:textId="77777777" w:rsidR="008E0B8F" w:rsidRPr="00890AD6" w:rsidRDefault="008E0B8F" w:rsidP="008E0B8F">
            <w:pPr>
              <w:spacing w:after="0" w:line="240" w:lineRule="auto"/>
              <w:rPr>
                <w:rFonts w:ascii="Times New Roman" w:eastAsia="Times New Roman" w:hAnsi="Times New Roman" w:cs="Times New Roman"/>
                <w:sz w:val="18"/>
                <w:szCs w:val="18"/>
                <w:lang w:eastAsia="hr-HR"/>
              </w:rPr>
            </w:pPr>
            <w:r w:rsidRPr="00890AD6">
              <w:rPr>
                <w:rFonts w:ascii="Times New Roman" w:eastAsia="Times New Roman" w:hAnsi="Times New Roman" w:cs="Times New Roman"/>
                <w:sz w:val="18"/>
                <w:szCs w:val="18"/>
                <w:lang w:eastAsia="hr-HR"/>
              </w:rPr>
              <w:t>Predujmovi za zalihe</w:t>
            </w:r>
          </w:p>
        </w:tc>
        <w:tc>
          <w:tcPr>
            <w:tcW w:w="1098" w:type="pct"/>
          </w:tcPr>
          <w:p w14:paraId="4EC293F5" w14:textId="25887362" w:rsidR="008E0B8F" w:rsidRPr="00890AD6" w:rsidRDefault="008E0B8F" w:rsidP="008E0B8F">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477</w:t>
            </w:r>
            <w:r w:rsidR="00D433F0" w:rsidRPr="00890AD6">
              <w:rPr>
                <w:rFonts w:ascii="Times New Roman" w:eastAsia="Calibri" w:hAnsi="Times New Roman" w:cs="Times New Roman"/>
                <w:sz w:val="20"/>
                <w:szCs w:val="20"/>
              </w:rPr>
              <w:t>,12</w:t>
            </w:r>
          </w:p>
        </w:tc>
      </w:tr>
      <w:tr w:rsidR="008E0B8F" w:rsidRPr="008E0B8F" w14:paraId="0FC9D211" w14:textId="77777777" w:rsidTr="00890AD6">
        <w:trPr>
          <w:trHeight w:val="368"/>
          <w:jc w:val="center"/>
        </w:trPr>
        <w:tc>
          <w:tcPr>
            <w:tcW w:w="3902" w:type="pct"/>
            <w:tcBorders>
              <w:top w:val="nil"/>
              <w:left w:val="nil"/>
              <w:bottom w:val="nil"/>
              <w:right w:val="single" w:sz="12" w:space="0" w:color="FFFFFF"/>
            </w:tcBorders>
            <w:shd w:val="clear" w:color="000000" w:fill="F2F2F2"/>
            <w:vAlign w:val="center"/>
          </w:tcPr>
          <w:p w14:paraId="0478AD03" w14:textId="77777777" w:rsidR="008E0B8F" w:rsidRPr="00890AD6" w:rsidRDefault="008E0B8F" w:rsidP="008E0B8F">
            <w:pPr>
              <w:spacing w:after="0" w:line="240" w:lineRule="auto"/>
              <w:rPr>
                <w:rFonts w:ascii="Times New Roman" w:eastAsia="Times New Roman" w:hAnsi="Times New Roman" w:cs="Times New Roman"/>
                <w:b/>
                <w:bCs/>
                <w:sz w:val="18"/>
                <w:szCs w:val="18"/>
                <w:lang w:eastAsia="hr-HR"/>
              </w:rPr>
            </w:pPr>
            <w:r w:rsidRPr="00890AD6">
              <w:rPr>
                <w:rFonts w:ascii="Times New Roman" w:eastAsia="Times New Roman" w:hAnsi="Times New Roman" w:cs="Times New Roman"/>
                <w:b/>
                <w:bCs/>
                <w:sz w:val="18"/>
                <w:szCs w:val="18"/>
                <w:lang w:eastAsia="hr-HR"/>
              </w:rPr>
              <w:t>UKUPNO / EUR</w:t>
            </w:r>
          </w:p>
        </w:tc>
        <w:tc>
          <w:tcPr>
            <w:tcW w:w="1098" w:type="pct"/>
            <w:tcBorders>
              <w:top w:val="nil"/>
              <w:left w:val="nil"/>
              <w:bottom w:val="nil"/>
              <w:right w:val="nil"/>
            </w:tcBorders>
            <w:shd w:val="clear" w:color="000000" w:fill="F2F2F2"/>
            <w:vAlign w:val="center"/>
          </w:tcPr>
          <w:p w14:paraId="2491FDFE" w14:textId="08D1DB04" w:rsidR="008E0B8F" w:rsidRPr="00890AD6" w:rsidRDefault="008E0B8F" w:rsidP="00D433F0">
            <w:pPr>
              <w:spacing w:after="0" w:line="240" w:lineRule="auto"/>
              <w:jc w:val="center"/>
              <w:rPr>
                <w:rFonts w:ascii="Times New Roman" w:eastAsia="Times New Roman" w:hAnsi="Times New Roman" w:cs="Times New Roman"/>
                <w:b/>
                <w:bCs/>
                <w:sz w:val="20"/>
                <w:szCs w:val="20"/>
                <w:lang w:eastAsia="hr-HR"/>
              </w:rPr>
            </w:pPr>
            <w:r w:rsidRPr="00890AD6">
              <w:rPr>
                <w:rFonts w:ascii="Times New Roman" w:eastAsia="Times New Roman" w:hAnsi="Times New Roman" w:cs="Times New Roman"/>
                <w:b/>
                <w:bCs/>
                <w:sz w:val="20"/>
                <w:szCs w:val="20"/>
                <w:lang w:eastAsia="hr-HR"/>
              </w:rPr>
              <w:t>450.27</w:t>
            </w:r>
            <w:r w:rsidR="00D433F0" w:rsidRPr="00890AD6">
              <w:rPr>
                <w:rFonts w:ascii="Times New Roman" w:eastAsia="Times New Roman" w:hAnsi="Times New Roman" w:cs="Times New Roman"/>
                <w:b/>
                <w:bCs/>
                <w:sz w:val="20"/>
                <w:szCs w:val="20"/>
                <w:lang w:eastAsia="hr-HR"/>
              </w:rPr>
              <w:t>4,82</w:t>
            </w:r>
            <w:r w:rsidRPr="00890AD6">
              <w:rPr>
                <w:rFonts w:ascii="Times New Roman" w:eastAsia="Times New Roman" w:hAnsi="Times New Roman" w:cs="Times New Roman"/>
                <w:b/>
                <w:bCs/>
                <w:sz w:val="20"/>
                <w:szCs w:val="20"/>
                <w:lang w:eastAsia="hr-HR"/>
              </w:rPr>
              <w:t xml:space="preserve"> EUR </w:t>
            </w:r>
          </w:p>
        </w:tc>
      </w:tr>
    </w:tbl>
    <w:p w14:paraId="4C8C9304" w14:textId="3C57A9F5" w:rsidR="008E0B8F" w:rsidRPr="00DE3E13" w:rsidRDefault="00DE3E13" w:rsidP="00DE3E13">
      <w:pPr>
        <w:tabs>
          <w:tab w:val="right" w:pos="5103"/>
        </w:tabs>
        <w:suppressAutoHyphens/>
        <w:autoSpaceDN w:val="0"/>
        <w:spacing w:after="0" w:line="276" w:lineRule="auto"/>
        <w:jc w:val="right"/>
        <w:textAlignment w:val="baseline"/>
        <w:rPr>
          <w:rFonts w:ascii="Cambria" w:eastAsia="Calibri" w:hAnsi="Cambria" w:cs="Calibri"/>
          <w:lang w:eastAsia="hr-HR"/>
        </w:rPr>
      </w:pPr>
      <w:r w:rsidRPr="00DE3E13">
        <w:rPr>
          <w:rFonts w:ascii="Cambria" w:eastAsia="Calibri" w:hAnsi="Cambria" w:cs="Calibri"/>
          <w:lang w:eastAsia="hr-HR"/>
        </w:rPr>
        <w:t>6</w:t>
      </w:r>
    </w:p>
    <w:p w14:paraId="47F0ED2D" w14:textId="77777777" w:rsidR="008E0B8F" w:rsidRPr="008E0B8F" w:rsidRDefault="008E0B8F" w:rsidP="008E0B8F">
      <w:pPr>
        <w:tabs>
          <w:tab w:val="right" w:pos="5103"/>
        </w:tabs>
        <w:suppressAutoHyphens/>
        <w:autoSpaceDN w:val="0"/>
        <w:spacing w:after="0" w:line="276" w:lineRule="auto"/>
        <w:jc w:val="both"/>
        <w:textAlignment w:val="baseline"/>
        <w:rPr>
          <w:rFonts w:ascii="Cambria" w:eastAsia="Calibri" w:hAnsi="Cambria" w:cs="Times New Roman"/>
          <w:bCs/>
        </w:rPr>
      </w:pPr>
    </w:p>
    <w:p w14:paraId="304643EB" w14:textId="77777777" w:rsidR="008E0B8F" w:rsidRPr="0075481A" w:rsidRDefault="008E0B8F" w:rsidP="003501AD">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p>
    <w:p w14:paraId="061FAC0F" w14:textId="77777777" w:rsidR="00A80C5E" w:rsidRDefault="00A80C5E" w:rsidP="00131D13">
      <w:pPr>
        <w:spacing w:after="0" w:line="240" w:lineRule="auto"/>
        <w:jc w:val="both"/>
        <w:rPr>
          <w:rFonts w:ascii="Times New Roman" w:eastAsia="Times New Roman" w:hAnsi="Times New Roman" w:cs="Times New Roman"/>
          <w:b/>
        </w:rPr>
      </w:pPr>
    </w:p>
    <w:p w14:paraId="081860C4" w14:textId="77777777" w:rsidR="00A80C5E" w:rsidRDefault="00A80C5E" w:rsidP="00131D13">
      <w:pPr>
        <w:spacing w:after="0" w:line="240" w:lineRule="auto"/>
        <w:jc w:val="both"/>
        <w:rPr>
          <w:rFonts w:ascii="Times New Roman" w:eastAsia="Times New Roman" w:hAnsi="Times New Roman" w:cs="Times New Roman"/>
          <w:b/>
        </w:rPr>
      </w:pPr>
    </w:p>
    <w:p w14:paraId="2A450437" w14:textId="77777777" w:rsidR="00A80C5E" w:rsidRDefault="00A80C5E" w:rsidP="00131D13">
      <w:pPr>
        <w:spacing w:after="0" w:line="240" w:lineRule="auto"/>
        <w:jc w:val="both"/>
        <w:rPr>
          <w:rFonts w:ascii="Times New Roman" w:eastAsia="Times New Roman" w:hAnsi="Times New Roman" w:cs="Times New Roman"/>
          <w:b/>
        </w:rPr>
      </w:pPr>
    </w:p>
    <w:p w14:paraId="69792F65" w14:textId="77777777" w:rsidR="00131D13" w:rsidRPr="00890AD6" w:rsidRDefault="00131D13" w:rsidP="00131D13">
      <w:pPr>
        <w:spacing w:after="0" w:line="240" w:lineRule="auto"/>
        <w:jc w:val="both"/>
        <w:rPr>
          <w:rFonts w:ascii="Times New Roman" w:eastAsia="Times New Roman" w:hAnsi="Times New Roman" w:cs="Times New Roman"/>
          <w:b/>
        </w:rPr>
      </w:pPr>
      <w:r w:rsidRPr="00890AD6">
        <w:rPr>
          <w:rFonts w:ascii="Times New Roman" w:eastAsia="Times New Roman" w:hAnsi="Times New Roman" w:cs="Times New Roman"/>
          <w:b/>
        </w:rPr>
        <w:t>Bilješka 5. Potraživanja</w:t>
      </w:r>
    </w:p>
    <w:p w14:paraId="691C28A1" w14:textId="77777777" w:rsidR="00552C89" w:rsidRPr="00890AD6" w:rsidRDefault="00552C89" w:rsidP="00552C89">
      <w:pPr>
        <w:spacing w:after="0" w:line="276" w:lineRule="auto"/>
        <w:contextualSpacing/>
        <w:jc w:val="both"/>
        <w:rPr>
          <w:rFonts w:ascii="Times New Roman" w:eastAsia="Calibri" w:hAnsi="Times New Roman" w:cs="Times New Roman"/>
          <w:bCs/>
          <w:color w:val="FF0000"/>
        </w:rPr>
      </w:pPr>
    </w:p>
    <w:p w14:paraId="01738E05" w14:textId="20319A7F" w:rsidR="008E0B8F" w:rsidRPr="00890AD6"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bCs/>
          <w:color w:val="000000"/>
          <w:kern w:val="3"/>
          <w:lang w:eastAsia="hr-HR"/>
        </w:rPr>
      </w:pPr>
      <w:r w:rsidRPr="00890AD6">
        <w:rPr>
          <w:rFonts w:ascii="Times New Roman" w:eastAsia="Calibri" w:hAnsi="Times New Roman" w:cs="Times New Roman"/>
          <w:bCs/>
          <w:color w:val="000000"/>
          <w:kern w:val="3"/>
          <w:lang w:eastAsia="hr-HR"/>
        </w:rPr>
        <w:t>Potraživanja su na 31.12.2024. godine iznosila 183.006</w:t>
      </w:r>
      <w:r w:rsidR="00D433F0" w:rsidRPr="00890AD6">
        <w:rPr>
          <w:rFonts w:ascii="Times New Roman" w:eastAsia="Calibri" w:hAnsi="Times New Roman" w:cs="Times New Roman"/>
          <w:bCs/>
          <w:color w:val="000000"/>
          <w:kern w:val="3"/>
          <w:lang w:eastAsia="hr-HR"/>
        </w:rPr>
        <w:t>,25</w:t>
      </w:r>
      <w:r w:rsidRPr="00890AD6">
        <w:rPr>
          <w:rFonts w:ascii="Times New Roman" w:eastAsia="Calibri" w:hAnsi="Times New Roman" w:cs="Times New Roman"/>
          <w:bCs/>
          <w:color w:val="000000"/>
          <w:kern w:val="3"/>
          <w:lang w:eastAsia="hr-HR"/>
        </w:rPr>
        <w:t xml:space="preserve"> EUR što u odnosu na prethodnu godinu predstavlja povećanje od 32%. Najveći udio u povećanju potraživanja rezultat je povećanja potraživanja od kupaca.</w:t>
      </w:r>
    </w:p>
    <w:p w14:paraId="491BF549" w14:textId="77777777" w:rsidR="008E0B8F" w:rsidRPr="008E0B8F" w:rsidRDefault="008E0B8F" w:rsidP="008E0B8F">
      <w:pPr>
        <w:tabs>
          <w:tab w:val="right" w:pos="5103"/>
        </w:tabs>
        <w:suppressAutoHyphens/>
        <w:autoSpaceDN w:val="0"/>
        <w:spacing w:after="0" w:line="276" w:lineRule="auto"/>
        <w:jc w:val="both"/>
        <w:textAlignment w:val="baseline"/>
        <w:rPr>
          <w:rFonts w:ascii="Cambria" w:eastAsia="Calibri" w:hAnsi="Cambria" w:cs="Calibri"/>
          <w:bCs/>
          <w:color w:val="000000"/>
          <w:kern w:val="3"/>
          <w:lang w:eastAsia="hr-HR"/>
        </w:rPr>
      </w:pPr>
    </w:p>
    <w:p w14:paraId="509DD673" w14:textId="77777777" w:rsidR="008E0B8F" w:rsidRPr="008E0B8F" w:rsidRDefault="008E0B8F" w:rsidP="008E0B8F">
      <w:pPr>
        <w:tabs>
          <w:tab w:val="right" w:pos="5103"/>
        </w:tabs>
        <w:suppressAutoHyphens/>
        <w:autoSpaceDN w:val="0"/>
        <w:spacing w:after="0" w:line="276" w:lineRule="auto"/>
        <w:jc w:val="both"/>
        <w:textAlignment w:val="baseline"/>
        <w:rPr>
          <w:rFonts w:ascii="Cambria" w:eastAsia="Calibri" w:hAnsi="Cambria" w:cs="Calibri"/>
          <w:bCs/>
          <w:color w:val="000000"/>
          <w:kern w:val="3"/>
          <w:lang w:eastAsia="hr-HR"/>
        </w:rPr>
      </w:pPr>
    </w:p>
    <w:p w14:paraId="5238D26B" w14:textId="77777777" w:rsidR="008E0B8F" w:rsidRPr="00890AD6" w:rsidRDefault="008E0B8F" w:rsidP="008E0B8F">
      <w:pPr>
        <w:spacing w:after="0" w:line="276" w:lineRule="auto"/>
        <w:contextualSpacing/>
        <w:jc w:val="center"/>
        <w:rPr>
          <w:rFonts w:ascii="Times New Roman" w:eastAsia="Calibri" w:hAnsi="Times New Roman" w:cs="Times New Roman"/>
          <w:i/>
        </w:rPr>
      </w:pPr>
      <w:r w:rsidRPr="00890AD6">
        <w:rPr>
          <w:rFonts w:ascii="Times New Roman" w:eastAsia="Calibri" w:hAnsi="Times New Roman" w:cs="Times New Roman"/>
          <w:i/>
        </w:rPr>
        <w:t>Struktura potraživanja od kupaca na 31.12.2024.</w:t>
      </w:r>
    </w:p>
    <w:p w14:paraId="68ED2823" w14:textId="77777777" w:rsidR="008E0B8F" w:rsidRPr="008E0B8F" w:rsidRDefault="008E0B8F" w:rsidP="008E0B8F">
      <w:pPr>
        <w:spacing w:after="0" w:line="276" w:lineRule="auto"/>
        <w:contextualSpacing/>
        <w:jc w:val="center"/>
        <w:rPr>
          <w:rFonts w:ascii="Cambria" w:eastAsia="Calibri" w:hAnsi="Cambria" w:cs="Times New Roman"/>
          <w:i/>
          <w:color w:val="FF0000"/>
        </w:rPr>
      </w:pP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415"/>
        <w:gridCol w:w="1828"/>
        <w:gridCol w:w="1549"/>
        <w:gridCol w:w="1034"/>
      </w:tblGrid>
      <w:tr w:rsidR="008E0B8F" w:rsidRPr="008E0B8F" w14:paraId="47C11E3B" w14:textId="77777777" w:rsidTr="008364D3">
        <w:trPr>
          <w:trHeight w:val="340"/>
          <w:jc w:val="center"/>
        </w:trPr>
        <w:tc>
          <w:tcPr>
            <w:tcW w:w="4415" w:type="dxa"/>
            <w:shd w:val="clear" w:color="auto" w:fill="F2F2F2"/>
            <w:vAlign w:val="center"/>
          </w:tcPr>
          <w:p w14:paraId="6D29BBAD" w14:textId="77777777" w:rsidR="008E0B8F" w:rsidRPr="00890AD6" w:rsidRDefault="008E0B8F" w:rsidP="008E0B8F">
            <w:pPr>
              <w:spacing w:after="0" w:line="276" w:lineRule="auto"/>
              <w:contextualSpacing/>
              <w:rPr>
                <w:rFonts w:ascii="Times New Roman" w:eastAsia="Calibri" w:hAnsi="Times New Roman" w:cs="Times New Roman"/>
                <w:b/>
                <w:bCs/>
                <w:sz w:val="18"/>
                <w:szCs w:val="20"/>
              </w:rPr>
            </w:pPr>
            <w:r w:rsidRPr="00890AD6">
              <w:rPr>
                <w:rFonts w:ascii="Times New Roman" w:eastAsia="Calibri" w:hAnsi="Times New Roman" w:cs="Times New Roman"/>
                <w:b/>
                <w:bCs/>
                <w:sz w:val="18"/>
                <w:szCs w:val="20"/>
              </w:rPr>
              <w:t>Potraživanja prema vrsti pružene usluge</w:t>
            </w:r>
          </w:p>
        </w:tc>
        <w:tc>
          <w:tcPr>
            <w:tcW w:w="1828" w:type="dxa"/>
            <w:shd w:val="clear" w:color="auto" w:fill="F2F2F2"/>
          </w:tcPr>
          <w:p w14:paraId="7511CA70" w14:textId="77777777" w:rsidR="008E0B8F" w:rsidRPr="00890AD6" w:rsidRDefault="008E0B8F" w:rsidP="008E0B8F">
            <w:pPr>
              <w:spacing w:after="0" w:line="276" w:lineRule="auto"/>
              <w:contextualSpacing/>
              <w:jc w:val="center"/>
              <w:rPr>
                <w:rFonts w:ascii="Times New Roman" w:eastAsia="Calibri" w:hAnsi="Times New Roman" w:cs="Times New Roman"/>
                <w:b/>
                <w:bCs/>
                <w:sz w:val="20"/>
                <w:szCs w:val="20"/>
              </w:rPr>
            </w:pPr>
            <w:r w:rsidRPr="00890AD6">
              <w:rPr>
                <w:rFonts w:ascii="Times New Roman" w:eastAsia="Calibri" w:hAnsi="Times New Roman" w:cs="Times New Roman"/>
                <w:b/>
                <w:bCs/>
                <w:sz w:val="20"/>
                <w:szCs w:val="20"/>
              </w:rPr>
              <w:t xml:space="preserve">Stanje </w:t>
            </w:r>
          </w:p>
          <w:p w14:paraId="46902EC9" w14:textId="77777777" w:rsidR="008E0B8F" w:rsidRPr="00890AD6" w:rsidRDefault="008E0B8F" w:rsidP="008E0B8F">
            <w:pPr>
              <w:spacing w:after="0" w:line="276" w:lineRule="auto"/>
              <w:contextualSpacing/>
              <w:jc w:val="center"/>
              <w:rPr>
                <w:rFonts w:ascii="Times New Roman" w:eastAsia="Calibri" w:hAnsi="Times New Roman" w:cs="Times New Roman"/>
                <w:b/>
                <w:bCs/>
                <w:sz w:val="20"/>
                <w:szCs w:val="20"/>
              </w:rPr>
            </w:pPr>
            <w:r w:rsidRPr="00890AD6">
              <w:rPr>
                <w:rFonts w:ascii="Times New Roman" w:eastAsia="Calibri" w:hAnsi="Times New Roman" w:cs="Times New Roman"/>
                <w:b/>
                <w:bCs/>
                <w:sz w:val="20"/>
                <w:szCs w:val="20"/>
              </w:rPr>
              <w:t>na 31.12.2023.</w:t>
            </w:r>
          </w:p>
        </w:tc>
        <w:tc>
          <w:tcPr>
            <w:tcW w:w="1549" w:type="dxa"/>
            <w:shd w:val="clear" w:color="auto" w:fill="F2F2F2"/>
          </w:tcPr>
          <w:p w14:paraId="245FB7DA" w14:textId="77777777" w:rsidR="008E0B8F" w:rsidRPr="00890AD6" w:rsidRDefault="008E0B8F" w:rsidP="008E0B8F">
            <w:pPr>
              <w:spacing w:after="0" w:line="276" w:lineRule="auto"/>
              <w:contextualSpacing/>
              <w:jc w:val="center"/>
              <w:rPr>
                <w:rFonts w:ascii="Times New Roman" w:eastAsia="Calibri" w:hAnsi="Times New Roman" w:cs="Times New Roman"/>
                <w:b/>
                <w:bCs/>
                <w:sz w:val="20"/>
                <w:szCs w:val="20"/>
              </w:rPr>
            </w:pPr>
            <w:r w:rsidRPr="00890AD6">
              <w:rPr>
                <w:rFonts w:ascii="Times New Roman" w:eastAsia="Calibri" w:hAnsi="Times New Roman" w:cs="Times New Roman"/>
                <w:b/>
                <w:bCs/>
                <w:sz w:val="20"/>
                <w:szCs w:val="20"/>
              </w:rPr>
              <w:t xml:space="preserve">Stanje </w:t>
            </w:r>
          </w:p>
          <w:p w14:paraId="071CF014" w14:textId="77777777" w:rsidR="008E0B8F" w:rsidRPr="00890AD6" w:rsidRDefault="008E0B8F" w:rsidP="008E0B8F">
            <w:pPr>
              <w:spacing w:after="0" w:line="276" w:lineRule="auto"/>
              <w:contextualSpacing/>
              <w:jc w:val="center"/>
              <w:rPr>
                <w:rFonts w:ascii="Times New Roman" w:eastAsia="Calibri" w:hAnsi="Times New Roman" w:cs="Times New Roman"/>
                <w:b/>
                <w:bCs/>
                <w:sz w:val="20"/>
                <w:szCs w:val="20"/>
              </w:rPr>
            </w:pPr>
            <w:r w:rsidRPr="00890AD6">
              <w:rPr>
                <w:rFonts w:ascii="Times New Roman" w:eastAsia="Calibri" w:hAnsi="Times New Roman" w:cs="Times New Roman"/>
                <w:b/>
                <w:bCs/>
                <w:sz w:val="20"/>
                <w:szCs w:val="20"/>
              </w:rPr>
              <w:t>na 31.12.2024.</w:t>
            </w:r>
          </w:p>
        </w:tc>
        <w:tc>
          <w:tcPr>
            <w:tcW w:w="1034" w:type="dxa"/>
            <w:shd w:val="clear" w:color="auto" w:fill="F2F2F2"/>
            <w:vAlign w:val="center"/>
          </w:tcPr>
          <w:p w14:paraId="7C32E67C" w14:textId="77777777" w:rsidR="008E0B8F" w:rsidRPr="00890AD6" w:rsidRDefault="008E0B8F" w:rsidP="008E0B8F">
            <w:pPr>
              <w:spacing w:after="0" w:line="276" w:lineRule="auto"/>
              <w:contextualSpacing/>
              <w:jc w:val="center"/>
              <w:rPr>
                <w:rFonts w:ascii="Times New Roman" w:eastAsia="Calibri" w:hAnsi="Times New Roman" w:cs="Times New Roman"/>
                <w:b/>
                <w:bCs/>
                <w:sz w:val="20"/>
                <w:szCs w:val="20"/>
              </w:rPr>
            </w:pPr>
            <w:r w:rsidRPr="00890AD6">
              <w:rPr>
                <w:rFonts w:ascii="Times New Roman" w:eastAsia="Calibri" w:hAnsi="Times New Roman" w:cs="Times New Roman"/>
                <w:b/>
                <w:bCs/>
                <w:sz w:val="20"/>
                <w:szCs w:val="20"/>
              </w:rPr>
              <w:t>IND</w:t>
            </w:r>
          </w:p>
        </w:tc>
      </w:tr>
      <w:tr w:rsidR="00D433F0" w:rsidRPr="008E0B8F" w14:paraId="63CBF464" w14:textId="77777777" w:rsidTr="00E80368">
        <w:trPr>
          <w:trHeight w:val="340"/>
          <w:jc w:val="center"/>
        </w:trPr>
        <w:tc>
          <w:tcPr>
            <w:tcW w:w="4415" w:type="dxa"/>
            <w:tcBorders>
              <w:bottom w:val="nil"/>
            </w:tcBorders>
            <w:shd w:val="clear" w:color="auto" w:fill="auto"/>
          </w:tcPr>
          <w:p w14:paraId="56B18896" w14:textId="77777777" w:rsidR="00D433F0" w:rsidRPr="00890AD6" w:rsidRDefault="00D433F0" w:rsidP="00D433F0">
            <w:pPr>
              <w:spacing w:after="0" w:line="276" w:lineRule="auto"/>
              <w:contextualSpacing/>
              <w:rPr>
                <w:rFonts w:ascii="Times New Roman" w:eastAsia="Calibri" w:hAnsi="Times New Roman" w:cs="Times New Roman"/>
                <w:sz w:val="18"/>
                <w:szCs w:val="20"/>
              </w:rPr>
            </w:pPr>
            <w:r w:rsidRPr="00890AD6">
              <w:rPr>
                <w:rFonts w:ascii="Times New Roman" w:eastAsia="Calibri" w:hAnsi="Times New Roman" w:cs="Times New Roman"/>
                <w:sz w:val="18"/>
                <w:szCs w:val="20"/>
              </w:rPr>
              <w:t>Godišnja naknada za korištenje grobnih mjesta</w:t>
            </w:r>
          </w:p>
        </w:tc>
        <w:tc>
          <w:tcPr>
            <w:tcW w:w="1828" w:type="dxa"/>
            <w:tcBorders>
              <w:top w:val="single" w:sz="18" w:space="0" w:color="FFFFFF"/>
              <w:left w:val="single" w:sz="18" w:space="0" w:color="FFFFFF"/>
              <w:bottom w:val="nil"/>
              <w:right w:val="single" w:sz="18" w:space="0" w:color="FFFFFF"/>
            </w:tcBorders>
          </w:tcPr>
          <w:p w14:paraId="73D1C372" w14:textId="76A053A2"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76.039,74</w:t>
            </w:r>
          </w:p>
        </w:tc>
        <w:tc>
          <w:tcPr>
            <w:tcW w:w="1549" w:type="dxa"/>
            <w:tcBorders>
              <w:top w:val="single" w:sz="18" w:space="0" w:color="FFFFFF"/>
              <w:left w:val="single" w:sz="18" w:space="0" w:color="FFFFFF"/>
              <w:bottom w:val="nil"/>
              <w:right w:val="single" w:sz="18" w:space="0" w:color="FFFFFF"/>
            </w:tcBorders>
          </w:tcPr>
          <w:p w14:paraId="5143EE44" w14:textId="6DAD2D3B"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85.322</w:t>
            </w:r>
            <w:r w:rsidR="00247027" w:rsidRPr="00890AD6">
              <w:rPr>
                <w:rFonts w:ascii="Times New Roman" w:eastAsia="Calibri" w:hAnsi="Times New Roman" w:cs="Times New Roman"/>
                <w:sz w:val="20"/>
                <w:szCs w:val="20"/>
              </w:rPr>
              <w:t>,38</w:t>
            </w:r>
          </w:p>
        </w:tc>
        <w:tc>
          <w:tcPr>
            <w:tcW w:w="1034" w:type="dxa"/>
            <w:tcBorders>
              <w:bottom w:val="nil"/>
            </w:tcBorders>
          </w:tcPr>
          <w:p w14:paraId="3618784D" w14:textId="77777777"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112</w:t>
            </w:r>
          </w:p>
        </w:tc>
      </w:tr>
      <w:tr w:rsidR="00D433F0" w:rsidRPr="008E0B8F" w14:paraId="05F4F4D5" w14:textId="77777777" w:rsidTr="00E80368">
        <w:trPr>
          <w:trHeight w:val="340"/>
          <w:jc w:val="center"/>
        </w:trPr>
        <w:tc>
          <w:tcPr>
            <w:tcW w:w="4415" w:type="dxa"/>
            <w:tcBorders>
              <w:top w:val="nil"/>
              <w:bottom w:val="nil"/>
            </w:tcBorders>
            <w:shd w:val="clear" w:color="auto" w:fill="E7E6E6"/>
          </w:tcPr>
          <w:p w14:paraId="226B990A" w14:textId="77777777" w:rsidR="00D433F0" w:rsidRPr="00890AD6" w:rsidRDefault="00D433F0" w:rsidP="00D433F0">
            <w:pPr>
              <w:spacing w:after="0" w:line="276" w:lineRule="auto"/>
              <w:contextualSpacing/>
              <w:rPr>
                <w:rFonts w:ascii="Times New Roman" w:eastAsia="Calibri" w:hAnsi="Times New Roman" w:cs="Times New Roman"/>
                <w:sz w:val="18"/>
                <w:szCs w:val="20"/>
              </w:rPr>
            </w:pPr>
            <w:r w:rsidRPr="00890AD6">
              <w:rPr>
                <w:rFonts w:ascii="Times New Roman" w:eastAsia="Calibri" w:hAnsi="Times New Roman" w:cs="Times New Roman"/>
                <w:sz w:val="18"/>
                <w:szCs w:val="20"/>
              </w:rPr>
              <w:t>Pogrebne usluge (fizičke osobe)</w:t>
            </w:r>
          </w:p>
        </w:tc>
        <w:tc>
          <w:tcPr>
            <w:tcW w:w="1828" w:type="dxa"/>
            <w:tcBorders>
              <w:top w:val="nil"/>
              <w:left w:val="single" w:sz="18" w:space="0" w:color="FFFFFF"/>
              <w:bottom w:val="nil"/>
              <w:right w:val="single" w:sz="18" w:space="0" w:color="FFFFFF"/>
            </w:tcBorders>
            <w:shd w:val="clear" w:color="auto" w:fill="E7E6E6"/>
          </w:tcPr>
          <w:p w14:paraId="14DAE003" w14:textId="6EB91BEA"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149.711,00</w:t>
            </w:r>
          </w:p>
        </w:tc>
        <w:tc>
          <w:tcPr>
            <w:tcW w:w="1549" w:type="dxa"/>
            <w:tcBorders>
              <w:top w:val="nil"/>
              <w:left w:val="single" w:sz="18" w:space="0" w:color="FFFFFF"/>
              <w:bottom w:val="nil"/>
              <w:right w:val="single" w:sz="18" w:space="0" w:color="FFFFFF"/>
            </w:tcBorders>
            <w:shd w:val="clear" w:color="auto" w:fill="E7E6E6"/>
          </w:tcPr>
          <w:p w14:paraId="2BD0A297" w14:textId="36BE91FA" w:rsidR="00D433F0" w:rsidRPr="00890AD6" w:rsidRDefault="00D433F0" w:rsidP="00247027">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141.78</w:t>
            </w:r>
            <w:r w:rsidR="00247027" w:rsidRPr="00890AD6">
              <w:rPr>
                <w:rFonts w:ascii="Times New Roman" w:eastAsia="Calibri" w:hAnsi="Times New Roman" w:cs="Times New Roman"/>
                <w:sz w:val="20"/>
                <w:szCs w:val="20"/>
              </w:rPr>
              <w:t>2,00</w:t>
            </w:r>
          </w:p>
        </w:tc>
        <w:tc>
          <w:tcPr>
            <w:tcW w:w="1034" w:type="dxa"/>
            <w:tcBorders>
              <w:top w:val="nil"/>
              <w:bottom w:val="nil"/>
            </w:tcBorders>
            <w:shd w:val="clear" w:color="auto" w:fill="E7E6E6"/>
          </w:tcPr>
          <w:p w14:paraId="7DFA49FA" w14:textId="77777777"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95</w:t>
            </w:r>
          </w:p>
        </w:tc>
      </w:tr>
      <w:tr w:rsidR="00D433F0" w:rsidRPr="008E0B8F" w14:paraId="7C996EE8" w14:textId="77777777" w:rsidTr="00E80368">
        <w:trPr>
          <w:trHeight w:val="340"/>
          <w:jc w:val="center"/>
        </w:trPr>
        <w:tc>
          <w:tcPr>
            <w:tcW w:w="4415" w:type="dxa"/>
            <w:tcBorders>
              <w:top w:val="nil"/>
              <w:bottom w:val="nil"/>
            </w:tcBorders>
            <w:shd w:val="clear" w:color="auto" w:fill="FFFFFF"/>
          </w:tcPr>
          <w:p w14:paraId="21615058" w14:textId="77777777" w:rsidR="00D433F0" w:rsidRPr="00890AD6" w:rsidRDefault="00D433F0" w:rsidP="00D433F0">
            <w:pPr>
              <w:spacing w:after="0" w:line="276" w:lineRule="auto"/>
              <w:contextualSpacing/>
              <w:rPr>
                <w:rFonts w:ascii="Times New Roman" w:eastAsia="Calibri" w:hAnsi="Times New Roman" w:cs="Times New Roman"/>
                <w:sz w:val="18"/>
                <w:szCs w:val="20"/>
              </w:rPr>
            </w:pPr>
            <w:r w:rsidRPr="00890AD6">
              <w:rPr>
                <w:rFonts w:ascii="Times New Roman" w:eastAsia="Calibri" w:hAnsi="Times New Roman" w:cs="Times New Roman"/>
                <w:sz w:val="18"/>
                <w:szCs w:val="20"/>
              </w:rPr>
              <w:t>Pogrebne usluge i održavanje groblja (pravne osobe)</w:t>
            </w:r>
          </w:p>
        </w:tc>
        <w:tc>
          <w:tcPr>
            <w:tcW w:w="1828" w:type="dxa"/>
            <w:tcBorders>
              <w:top w:val="nil"/>
              <w:left w:val="single" w:sz="18" w:space="0" w:color="FFFFFF"/>
              <w:bottom w:val="nil"/>
              <w:right w:val="single" w:sz="18" w:space="0" w:color="FFFFFF"/>
            </w:tcBorders>
            <w:shd w:val="clear" w:color="auto" w:fill="FFFFFF"/>
          </w:tcPr>
          <w:p w14:paraId="2D5405F4" w14:textId="5BDA836A"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40.971,00</w:t>
            </w:r>
          </w:p>
        </w:tc>
        <w:tc>
          <w:tcPr>
            <w:tcW w:w="1549" w:type="dxa"/>
            <w:tcBorders>
              <w:top w:val="nil"/>
              <w:left w:val="single" w:sz="18" w:space="0" w:color="FFFFFF"/>
              <w:bottom w:val="nil"/>
              <w:right w:val="single" w:sz="18" w:space="0" w:color="FFFFFF"/>
            </w:tcBorders>
            <w:shd w:val="clear" w:color="auto" w:fill="FFFFFF"/>
          </w:tcPr>
          <w:p w14:paraId="0B752E25" w14:textId="47F2F3EB"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111.738</w:t>
            </w:r>
            <w:r w:rsidR="00247027" w:rsidRPr="00890AD6">
              <w:rPr>
                <w:rFonts w:ascii="Times New Roman" w:eastAsia="Calibri" w:hAnsi="Times New Roman" w:cs="Times New Roman"/>
                <w:sz w:val="20"/>
                <w:szCs w:val="20"/>
              </w:rPr>
              <w:t>,61</w:t>
            </w:r>
          </w:p>
        </w:tc>
        <w:tc>
          <w:tcPr>
            <w:tcW w:w="1034" w:type="dxa"/>
            <w:tcBorders>
              <w:top w:val="nil"/>
              <w:bottom w:val="nil"/>
            </w:tcBorders>
            <w:shd w:val="clear" w:color="auto" w:fill="FFFFFF"/>
          </w:tcPr>
          <w:p w14:paraId="29780661" w14:textId="77777777"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273</w:t>
            </w:r>
          </w:p>
        </w:tc>
      </w:tr>
      <w:tr w:rsidR="00D433F0" w:rsidRPr="008E0B8F" w14:paraId="3E1B6797" w14:textId="77777777" w:rsidTr="00E80368">
        <w:trPr>
          <w:trHeight w:val="340"/>
          <w:jc w:val="center"/>
        </w:trPr>
        <w:tc>
          <w:tcPr>
            <w:tcW w:w="4415" w:type="dxa"/>
            <w:tcBorders>
              <w:top w:val="nil"/>
              <w:bottom w:val="nil"/>
            </w:tcBorders>
            <w:shd w:val="clear" w:color="auto" w:fill="E7E6E6"/>
          </w:tcPr>
          <w:p w14:paraId="2540B8E9" w14:textId="77777777" w:rsidR="00D433F0" w:rsidRPr="00890AD6" w:rsidRDefault="00D433F0" w:rsidP="00D433F0">
            <w:pPr>
              <w:spacing w:after="0" w:line="276" w:lineRule="auto"/>
              <w:contextualSpacing/>
              <w:rPr>
                <w:rFonts w:ascii="Times New Roman" w:eastAsia="Calibri" w:hAnsi="Times New Roman" w:cs="Times New Roman"/>
                <w:sz w:val="18"/>
                <w:szCs w:val="20"/>
              </w:rPr>
            </w:pPr>
            <w:r w:rsidRPr="00890AD6">
              <w:rPr>
                <w:rFonts w:ascii="Times New Roman" w:eastAsia="Calibri" w:hAnsi="Times New Roman" w:cs="Times New Roman"/>
                <w:sz w:val="18"/>
                <w:szCs w:val="20"/>
              </w:rPr>
              <w:t>Ispravak vrijednosti potraživanja</w:t>
            </w:r>
          </w:p>
        </w:tc>
        <w:tc>
          <w:tcPr>
            <w:tcW w:w="1828" w:type="dxa"/>
            <w:tcBorders>
              <w:top w:val="nil"/>
              <w:left w:val="single" w:sz="18" w:space="0" w:color="FFFFFF"/>
              <w:bottom w:val="nil"/>
              <w:right w:val="single" w:sz="18" w:space="0" w:color="FFFFFF"/>
            </w:tcBorders>
            <w:shd w:val="clear" w:color="auto" w:fill="E7E6E6"/>
          </w:tcPr>
          <w:p w14:paraId="3F029B96" w14:textId="680A9FDF"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(159.156,92)</w:t>
            </w:r>
          </w:p>
        </w:tc>
        <w:tc>
          <w:tcPr>
            <w:tcW w:w="1549" w:type="dxa"/>
            <w:tcBorders>
              <w:top w:val="nil"/>
              <w:left w:val="single" w:sz="18" w:space="0" w:color="FFFFFF"/>
              <w:bottom w:val="nil"/>
              <w:right w:val="single" w:sz="18" w:space="0" w:color="FFFFFF"/>
            </w:tcBorders>
            <w:shd w:val="clear" w:color="auto" w:fill="E7E6E6"/>
          </w:tcPr>
          <w:p w14:paraId="62179445" w14:textId="6B59C37B" w:rsidR="00D433F0" w:rsidRPr="00890AD6" w:rsidRDefault="00D433F0" w:rsidP="00247027">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(170.05</w:t>
            </w:r>
            <w:r w:rsidR="00247027" w:rsidRPr="00890AD6">
              <w:rPr>
                <w:rFonts w:ascii="Times New Roman" w:eastAsia="Calibri" w:hAnsi="Times New Roman" w:cs="Times New Roman"/>
                <w:sz w:val="20"/>
                <w:szCs w:val="20"/>
              </w:rPr>
              <w:t>1,57</w:t>
            </w:r>
            <w:r w:rsidRPr="00890AD6">
              <w:rPr>
                <w:rFonts w:ascii="Times New Roman" w:eastAsia="Calibri" w:hAnsi="Times New Roman" w:cs="Times New Roman"/>
                <w:sz w:val="20"/>
                <w:szCs w:val="20"/>
              </w:rPr>
              <w:t>)</w:t>
            </w:r>
          </w:p>
        </w:tc>
        <w:tc>
          <w:tcPr>
            <w:tcW w:w="1034" w:type="dxa"/>
            <w:tcBorders>
              <w:top w:val="nil"/>
              <w:bottom w:val="nil"/>
            </w:tcBorders>
            <w:shd w:val="clear" w:color="auto" w:fill="E7E6E6"/>
          </w:tcPr>
          <w:p w14:paraId="3D9FFF8C" w14:textId="77777777" w:rsidR="00D433F0" w:rsidRPr="00890AD6" w:rsidRDefault="00D433F0" w:rsidP="00D433F0">
            <w:pPr>
              <w:spacing w:after="0" w:line="276" w:lineRule="auto"/>
              <w:contextualSpacing/>
              <w:jc w:val="center"/>
              <w:rPr>
                <w:rFonts w:ascii="Times New Roman" w:eastAsia="Calibri" w:hAnsi="Times New Roman" w:cs="Times New Roman"/>
                <w:sz w:val="20"/>
                <w:szCs w:val="20"/>
              </w:rPr>
            </w:pPr>
            <w:r w:rsidRPr="00890AD6">
              <w:rPr>
                <w:rFonts w:ascii="Times New Roman" w:eastAsia="Calibri" w:hAnsi="Times New Roman" w:cs="Times New Roman"/>
                <w:sz w:val="20"/>
                <w:szCs w:val="20"/>
              </w:rPr>
              <w:t>(107)</w:t>
            </w:r>
          </w:p>
        </w:tc>
      </w:tr>
      <w:tr w:rsidR="008E0B8F" w:rsidRPr="008E0B8F" w14:paraId="097908D7" w14:textId="77777777" w:rsidTr="008364D3">
        <w:trPr>
          <w:trHeight w:val="340"/>
          <w:jc w:val="center"/>
        </w:trPr>
        <w:tc>
          <w:tcPr>
            <w:tcW w:w="4415" w:type="dxa"/>
            <w:tcBorders>
              <w:top w:val="nil"/>
              <w:bottom w:val="nil"/>
            </w:tcBorders>
            <w:shd w:val="clear" w:color="auto" w:fill="F2F2F2"/>
          </w:tcPr>
          <w:p w14:paraId="3C61DB81" w14:textId="77777777" w:rsidR="008E0B8F" w:rsidRPr="00890AD6" w:rsidRDefault="008E0B8F" w:rsidP="008E0B8F">
            <w:pPr>
              <w:spacing w:after="0" w:line="276" w:lineRule="auto"/>
              <w:contextualSpacing/>
              <w:rPr>
                <w:rFonts w:ascii="Times New Roman" w:eastAsia="Calibri" w:hAnsi="Times New Roman" w:cs="Times New Roman"/>
                <w:b/>
                <w:sz w:val="18"/>
                <w:szCs w:val="20"/>
              </w:rPr>
            </w:pPr>
            <w:r w:rsidRPr="00890AD6">
              <w:rPr>
                <w:rFonts w:ascii="Times New Roman" w:eastAsia="Calibri" w:hAnsi="Times New Roman" w:cs="Times New Roman"/>
                <w:b/>
                <w:sz w:val="18"/>
                <w:szCs w:val="20"/>
              </w:rPr>
              <w:t>UKUPNO / EUR</w:t>
            </w:r>
          </w:p>
        </w:tc>
        <w:tc>
          <w:tcPr>
            <w:tcW w:w="1828" w:type="dxa"/>
            <w:tcBorders>
              <w:top w:val="nil"/>
              <w:bottom w:val="nil"/>
            </w:tcBorders>
            <w:shd w:val="clear" w:color="auto" w:fill="F2F2F2"/>
          </w:tcPr>
          <w:p w14:paraId="112EC0ED" w14:textId="45A24803" w:rsidR="008E0B8F" w:rsidRPr="00890AD6" w:rsidRDefault="008E0B8F" w:rsidP="00D433F0">
            <w:pPr>
              <w:spacing w:after="0" w:line="276" w:lineRule="auto"/>
              <w:contextualSpacing/>
              <w:jc w:val="center"/>
              <w:rPr>
                <w:rFonts w:ascii="Times New Roman" w:eastAsia="Calibri" w:hAnsi="Times New Roman" w:cs="Times New Roman"/>
                <w:b/>
                <w:sz w:val="20"/>
                <w:szCs w:val="20"/>
              </w:rPr>
            </w:pPr>
            <w:r w:rsidRPr="00890AD6">
              <w:rPr>
                <w:rFonts w:ascii="Times New Roman" w:eastAsia="Calibri" w:hAnsi="Times New Roman" w:cs="Times New Roman"/>
                <w:b/>
                <w:sz w:val="20"/>
                <w:szCs w:val="20"/>
              </w:rPr>
              <w:t>107.56</w:t>
            </w:r>
            <w:r w:rsidR="00D433F0" w:rsidRPr="00890AD6">
              <w:rPr>
                <w:rFonts w:ascii="Times New Roman" w:eastAsia="Calibri" w:hAnsi="Times New Roman" w:cs="Times New Roman"/>
                <w:b/>
                <w:sz w:val="20"/>
                <w:szCs w:val="20"/>
              </w:rPr>
              <w:t>4,82</w:t>
            </w:r>
          </w:p>
        </w:tc>
        <w:tc>
          <w:tcPr>
            <w:tcW w:w="1549" w:type="dxa"/>
            <w:tcBorders>
              <w:top w:val="nil"/>
              <w:left w:val="single" w:sz="18" w:space="0" w:color="FFFFFF"/>
              <w:bottom w:val="nil"/>
              <w:right w:val="single" w:sz="18" w:space="0" w:color="FFFFFF"/>
            </w:tcBorders>
            <w:shd w:val="clear" w:color="auto" w:fill="F2F2F2"/>
          </w:tcPr>
          <w:p w14:paraId="49AC0E80" w14:textId="2A00C582" w:rsidR="008E0B8F" w:rsidRPr="00890AD6" w:rsidRDefault="008E0B8F" w:rsidP="008E0B8F">
            <w:pPr>
              <w:spacing w:after="0" w:line="276" w:lineRule="auto"/>
              <w:contextualSpacing/>
              <w:jc w:val="center"/>
              <w:rPr>
                <w:rFonts w:ascii="Times New Roman" w:eastAsia="Calibri" w:hAnsi="Times New Roman" w:cs="Times New Roman"/>
                <w:b/>
                <w:sz w:val="20"/>
                <w:szCs w:val="20"/>
              </w:rPr>
            </w:pPr>
            <w:r w:rsidRPr="00890AD6">
              <w:rPr>
                <w:rFonts w:ascii="Times New Roman" w:eastAsia="Calibri" w:hAnsi="Times New Roman" w:cs="Times New Roman"/>
                <w:b/>
                <w:sz w:val="20"/>
                <w:szCs w:val="20"/>
              </w:rPr>
              <w:t>168.791</w:t>
            </w:r>
            <w:r w:rsidR="00D433F0" w:rsidRPr="00890AD6">
              <w:rPr>
                <w:rFonts w:ascii="Times New Roman" w:eastAsia="Calibri" w:hAnsi="Times New Roman" w:cs="Times New Roman"/>
                <w:b/>
                <w:sz w:val="20"/>
                <w:szCs w:val="20"/>
              </w:rPr>
              <w:t>,42</w:t>
            </w:r>
          </w:p>
        </w:tc>
        <w:tc>
          <w:tcPr>
            <w:tcW w:w="1034" w:type="dxa"/>
            <w:tcBorders>
              <w:top w:val="nil"/>
              <w:bottom w:val="nil"/>
            </w:tcBorders>
            <w:shd w:val="clear" w:color="auto" w:fill="F2F2F2"/>
          </w:tcPr>
          <w:p w14:paraId="68B52C80" w14:textId="77777777" w:rsidR="008E0B8F" w:rsidRPr="00890AD6" w:rsidRDefault="008E0B8F" w:rsidP="008E0B8F">
            <w:pPr>
              <w:spacing w:after="0" w:line="276" w:lineRule="auto"/>
              <w:contextualSpacing/>
              <w:jc w:val="center"/>
              <w:rPr>
                <w:rFonts w:ascii="Times New Roman" w:eastAsia="Calibri" w:hAnsi="Times New Roman" w:cs="Times New Roman"/>
                <w:b/>
                <w:sz w:val="20"/>
                <w:szCs w:val="20"/>
              </w:rPr>
            </w:pPr>
            <w:r w:rsidRPr="00890AD6">
              <w:rPr>
                <w:rFonts w:ascii="Times New Roman" w:eastAsia="Calibri" w:hAnsi="Times New Roman" w:cs="Times New Roman"/>
                <w:b/>
                <w:sz w:val="20"/>
                <w:szCs w:val="20"/>
              </w:rPr>
              <w:t>156</w:t>
            </w:r>
          </w:p>
        </w:tc>
      </w:tr>
    </w:tbl>
    <w:p w14:paraId="0354C786" w14:textId="77777777" w:rsidR="008E0B8F" w:rsidRPr="008E0B8F" w:rsidRDefault="008E0B8F" w:rsidP="008E0B8F">
      <w:pPr>
        <w:tabs>
          <w:tab w:val="right" w:pos="5103"/>
        </w:tabs>
        <w:suppressAutoHyphens/>
        <w:autoSpaceDN w:val="0"/>
        <w:spacing w:after="0" w:line="276" w:lineRule="auto"/>
        <w:jc w:val="both"/>
        <w:textAlignment w:val="baseline"/>
        <w:rPr>
          <w:rFonts w:ascii="Cambria" w:eastAsia="Calibri" w:hAnsi="Cambria" w:cs="Calibri"/>
          <w:b/>
          <w:lang w:eastAsia="hr-HR"/>
        </w:rPr>
      </w:pPr>
    </w:p>
    <w:p w14:paraId="6677019F" w14:textId="7988EC9F" w:rsidR="008E0B8F" w:rsidRPr="00890AD6" w:rsidRDefault="008E0B8F" w:rsidP="008E0B8F">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U tablici je prikaz strukture potraživanja na dan 31.12.2024. godine. Od ukupnih prikazanih potraživanja (isključen ispravak vrijednosti) na dospjela potraživanja se odnosi 214.875</w:t>
      </w:r>
      <w:r w:rsidR="00247027" w:rsidRPr="00890AD6">
        <w:rPr>
          <w:rFonts w:ascii="Times New Roman" w:eastAsia="Calibri" w:hAnsi="Times New Roman" w:cs="Times New Roman"/>
        </w:rPr>
        <w:t>,00</w:t>
      </w:r>
      <w:r w:rsidRPr="00890AD6">
        <w:rPr>
          <w:rFonts w:ascii="Times New Roman" w:eastAsia="Calibri" w:hAnsi="Times New Roman" w:cs="Times New Roman"/>
        </w:rPr>
        <w:t xml:space="preserve"> EUR, a na nedospjela potraživanja 123.9</w:t>
      </w:r>
      <w:r w:rsidR="00247027" w:rsidRPr="00890AD6">
        <w:rPr>
          <w:rFonts w:ascii="Times New Roman" w:eastAsia="Calibri" w:hAnsi="Times New Roman" w:cs="Times New Roman"/>
        </w:rPr>
        <w:t>67,99</w:t>
      </w:r>
      <w:r w:rsidRPr="00890AD6">
        <w:rPr>
          <w:rFonts w:ascii="Times New Roman" w:eastAsia="Calibri" w:hAnsi="Times New Roman" w:cs="Times New Roman"/>
        </w:rPr>
        <w:t xml:space="preserve"> EUR. U dospjelim potraživanjima evidentirano je 69.984</w:t>
      </w:r>
      <w:r w:rsidR="00247027" w:rsidRPr="00890AD6">
        <w:rPr>
          <w:rFonts w:ascii="Times New Roman" w:eastAsia="Calibri" w:hAnsi="Times New Roman" w:cs="Times New Roman"/>
        </w:rPr>
        <w:t>,14</w:t>
      </w:r>
      <w:r w:rsidRPr="00890AD6">
        <w:rPr>
          <w:rFonts w:ascii="Times New Roman" w:eastAsia="Calibri" w:hAnsi="Times New Roman" w:cs="Times New Roman"/>
        </w:rPr>
        <w:t xml:space="preserve"> EUR utuženih potraživanja iz prijašnjih godina.</w:t>
      </w:r>
    </w:p>
    <w:p w14:paraId="7E861577" w14:textId="77777777" w:rsidR="008E0B8F" w:rsidRPr="00890AD6" w:rsidRDefault="008E0B8F" w:rsidP="008E0B8F">
      <w:pPr>
        <w:spacing w:after="0" w:line="276" w:lineRule="auto"/>
        <w:contextualSpacing/>
        <w:jc w:val="both"/>
        <w:rPr>
          <w:rFonts w:ascii="Times New Roman" w:eastAsia="Calibri" w:hAnsi="Times New Roman" w:cs="Times New Roman"/>
          <w:bCs/>
        </w:rPr>
      </w:pPr>
      <w:r w:rsidRPr="00890AD6">
        <w:rPr>
          <w:rFonts w:ascii="Times New Roman" w:eastAsia="Calibri" w:hAnsi="Times New Roman" w:cs="Times New Roman"/>
        </w:rPr>
        <w:t xml:space="preserve">Na povećane potraživanja od kupaca od 57% utjecala su nedospjela potraživanja i dijelom povećanje cijena komunalnih usluga, </w:t>
      </w:r>
      <w:proofErr w:type="spellStart"/>
      <w:r w:rsidRPr="00890AD6">
        <w:rPr>
          <w:rFonts w:ascii="Times New Roman" w:eastAsia="Calibri" w:hAnsi="Times New Roman" w:cs="Times New Roman"/>
        </w:rPr>
        <w:t>pogrebničkih</w:t>
      </w:r>
      <w:proofErr w:type="spellEnd"/>
      <w:r w:rsidRPr="00890AD6">
        <w:rPr>
          <w:rFonts w:ascii="Times New Roman" w:eastAsia="Calibri" w:hAnsi="Times New Roman" w:cs="Times New Roman"/>
        </w:rPr>
        <w:t xml:space="preserve"> i tržišnih usluga tijekom 2024. godine  (promjena cijena komunalnih usluga od 06.03.2023.). </w:t>
      </w:r>
    </w:p>
    <w:p w14:paraId="78F26BDD" w14:textId="77777777" w:rsidR="008E0B8F" w:rsidRPr="00890AD6" w:rsidRDefault="008E0B8F" w:rsidP="008E0B8F">
      <w:pPr>
        <w:spacing w:after="0" w:line="276" w:lineRule="auto"/>
        <w:contextualSpacing/>
        <w:jc w:val="both"/>
        <w:rPr>
          <w:rFonts w:ascii="Times New Roman" w:eastAsia="Calibri" w:hAnsi="Times New Roman" w:cs="Times New Roman"/>
        </w:rPr>
      </w:pPr>
    </w:p>
    <w:p w14:paraId="07210462" w14:textId="7B7A11DC" w:rsidR="008E0B8F" w:rsidRPr="00890AD6" w:rsidRDefault="008E0B8F" w:rsidP="008E0B8F">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Potraživanja od zaposlenika u iznosu od 515</w:t>
      </w:r>
      <w:r w:rsidR="00247027" w:rsidRPr="00890AD6">
        <w:rPr>
          <w:rFonts w:ascii="Times New Roman" w:eastAsia="Calibri" w:hAnsi="Times New Roman" w:cs="Times New Roman"/>
        </w:rPr>
        <w:t>,00</w:t>
      </w:r>
      <w:r w:rsidRPr="00890AD6">
        <w:rPr>
          <w:rFonts w:ascii="Times New Roman" w:eastAsia="Calibri" w:hAnsi="Times New Roman" w:cs="Times New Roman"/>
        </w:rPr>
        <w:t xml:space="preserve"> EUR odnose se na potraživanja za akontaciju  za službeni put u zemlji od 30</w:t>
      </w:r>
      <w:r w:rsidR="00247027" w:rsidRPr="00890AD6">
        <w:rPr>
          <w:rFonts w:ascii="Times New Roman" w:eastAsia="Calibri" w:hAnsi="Times New Roman" w:cs="Times New Roman"/>
        </w:rPr>
        <w:t>,00</w:t>
      </w:r>
      <w:r w:rsidRPr="00890AD6">
        <w:rPr>
          <w:rFonts w:ascii="Times New Roman" w:eastAsia="Calibri" w:hAnsi="Times New Roman" w:cs="Times New Roman"/>
        </w:rPr>
        <w:t xml:space="preserve"> EUR i 485</w:t>
      </w:r>
      <w:r w:rsidR="00247027" w:rsidRPr="00890AD6">
        <w:rPr>
          <w:rFonts w:ascii="Times New Roman" w:eastAsia="Calibri" w:hAnsi="Times New Roman" w:cs="Times New Roman"/>
        </w:rPr>
        <w:t>,00</w:t>
      </w:r>
      <w:r w:rsidRPr="00890AD6">
        <w:rPr>
          <w:rFonts w:ascii="Times New Roman" w:eastAsia="Calibri" w:hAnsi="Times New Roman" w:cs="Times New Roman"/>
        </w:rPr>
        <w:t xml:space="preserve"> EUR-a za ostala potraživanja od radnika.</w:t>
      </w:r>
    </w:p>
    <w:p w14:paraId="43C0728E" w14:textId="5B57887C" w:rsidR="00F43F97" w:rsidRPr="00890AD6"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rPr>
      </w:pPr>
      <w:r w:rsidRPr="00890AD6">
        <w:rPr>
          <w:rFonts w:ascii="Times New Roman" w:eastAsia="Calibri" w:hAnsi="Times New Roman" w:cs="Times New Roman"/>
        </w:rPr>
        <w:t>Potraživanja od države i drugih institucija iznose 8.204</w:t>
      </w:r>
      <w:r w:rsidR="00247027" w:rsidRPr="00890AD6">
        <w:rPr>
          <w:rFonts w:ascii="Times New Roman" w:eastAsia="Calibri" w:hAnsi="Times New Roman" w:cs="Times New Roman"/>
        </w:rPr>
        <w:t>,35</w:t>
      </w:r>
      <w:r w:rsidRPr="00890AD6">
        <w:rPr>
          <w:rFonts w:ascii="Times New Roman" w:eastAsia="Calibri" w:hAnsi="Times New Roman" w:cs="Times New Roman"/>
        </w:rPr>
        <w:t xml:space="preserve"> EUR, a čine potraživanja od HZZO za bolovanja u iznosu od 7.20</w:t>
      </w:r>
      <w:r w:rsidR="00247027" w:rsidRPr="00890AD6">
        <w:rPr>
          <w:rFonts w:ascii="Times New Roman" w:eastAsia="Calibri" w:hAnsi="Times New Roman" w:cs="Times New Roman"/>
        </w:rPr>
        <w:t>2,67</w:t>
      </w:r>
      <w:r w:rsidRPr="00890AD6">
        <w:rPr>
          <w:rFonts w:ascii="Times New Roman" w:eastAsia="Calibri" w:hAnsi="Times New Roman" w:cs="Times New Roman"/>
        </w:rPr>
        <w:t xml:space="preserve"> EUR koja su naplaćena u 2025. godini,  potraživanja za preplaćene doprinose i poreze u iznosu od 998</w:t>
      </w:r>
      <w:r w:rsidR="00247027" w:rsidRPr="00890AD6">
        <w:rPr>
          <w:rFonts w:ascii="Times New Roman" w:eastAsia="Calibri" w:hAnsi="Times New Roman" w:cs="Times New Roman"/>
        </w:rPr>
        <w:t>,68</w:t>
      </w:r>
      <w:r w:rsidRPr="00890AD6">
        <w:rPr>
          <w:rFonts w:ascii="Times New Roman" w:eastAsia="Calibri" w:hAnsi="Times New Roman" w:cs="Times New Roman"/>
        </w:rPr>
        <w:t xml:space="preserve"> EUR koji su naplaćeni u 2025. godini, te iznos pretporeza u</w:t>
      </w:r>
    </w:p>
    <w:p w14:paraId="5961C0F1" w14:textId="481BD40A" w:rsidR="008E0B8F" w:rsidRPr="00890AD6" w:rsidRDefault="008E0B8F" w:rsidP="008E0B8F">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iznosu od 3</w:t>
      </w:r>
      <w:r w:rsidR="00247027" w:rsidRPr="00890AD6">
        <w:rPr>
          <w:rFonts w:ascii="Times New Roman" w:eastAsia="Calibri" w:hAnsi="Times New Roman" w:cs="Times New Roman"/>
        </w:rPr>
        <w:t>,00</w:t>
      </w:r>
      <w:r w:rsidRPr="00890AD6">
        <w:rPr>
          <w:rFonts w:ascii="Times New Roman" w:eastAsia="Calibri" w:hAnsi="Times New Roman" w:cs="Times New Roman"/>
        </w:rPr>
        <w:t xml:space="preserve"> EUR. Sa danom 01.01.2023. godine Društvo je prešlo na primjenu postupka oporezivanja PDV-a prema naplaćenim naknadama, te obveza PDV-a nastaje na dan primitka plaćanja potraživanja.</w:t>
      </w:r>
    </w:p>
    <w:p w14:paraId="1633C1E2" w14:textId="4C86FADF" w:rsidR="008E0B8F" w:rsidRPr="00890AD6" w:rsidRDefault="008E0B8F" w:rsidP="008E0B8F">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Ostala potraživanja u iznosu od 5.495</w:t>
      </w:r>
      <w:r w:rsidR="00247027" w:rsidRPr="00890AD6">
        <w:rPr>
          <w:rFonts w:ascii="Times New Roman" w:eastAsia="Calibri" w:hAnsi="Times New Roman" w:cs="Times New Roman"/>
        </w:rPr>
        <w:t>,48</w:t>
      </w:r>
      <w:r w:rsidRPr="00890AD6">
        <w:rPr>
          <w:rFonts w:ascii="Times New Roman" w:eastAsia="Calibri" w:hAnsi="Times New Roman" w:cs="Times New Roman"/>
        </w:rPr>
        <w:t xml:space="preserve"> EUR odnose se na potraživanja od kartičnih kuća (VISA, MAESTRO, MASTER) u iznosu od 4.89</w:t>
      </w:r>
      <w:r w:rsidR="00247027" w:rsidRPr="00890AD6">
        <w:rPr>
          <w:rFonts w:ascii="Times New Roman" w:eastAsia="Calibri" w:hAnsi="Times New Roman" w:cs="Times New Roman"/>
        </w:rPr>
        <w:t>2,73</w:t>
      </w:r>
      <w:r w:rsidRPr="00890AD6">
        <w:rPr>
          <w:rFonts w:ascii="Times New Roman" w:eastAsia="Calibri" w:hAnsi="Times New Roman" w:cs="Times New Roman"/>
        </w:rPr>
        <w:t xml:space="preserve"> EUR i 602</w:t>
      </w:r>
      <w:r w:rsidR="00247027" w:rsidRPr="00890AD6">
        <w:rPr>
          <w:rFonts w:ascii="Times New Roman" w:eastAsia="Calibri" w:hAnsi="Times New Roman" w:cs="Times New Roman"/>
        </w:rPr>
        <w:t>,75</w:t>
      </w:r>
      <w:r w:rsidRPr="00890AD6">
        <w:rPr>
          <w:rFonts w:ascii="Times New Roman" w:eastAsia="Calibri" w:hAnsi="Times New Roman" w:cs="Times New Roman"/>
        </w:rPr>
        <w:t xml:space="preserve"> EUR za dane predujmove u tuzemstvu.</w:t>
      </w:r>
    </w:p>
    <w:p w14:paraId="5AA1B6E5" w14:textId="77777777" w:rsidR="008E0B8F" w:rsidRPr="00890AD6"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color w:val="FF0000"/>
          <w:lang w:eastAsia="hr-HR"/>
        </w:rPr>
      </w:pPr>
    </w:p>
    <w:p w14:paraId="6C141475" w14:textId="77777777" w:rsidR="008E0B8F" w:rsidRPr="0075481A" w:rsidRDefault="008E0B8F" w:rsidP="008E0B8F">
      <w:pPr>
        <w:tabs>
          <w:tab w:val="right" w:pos="5103"/>
        </w:tabs>
        <w:suppressAutoHyphens/>
        <w:autoSpaceDN w:val="0"/>
        <w:spacing w:after="0" w:line="276" w:lineRule="auto"/>
        <w:jc w:val="both"/>
        <w:textAlignment w:val="baseline"/>
        <w:rPr>
          <w:rFonts w:ascii="Times New Roman" w:eastAsia="Calibri" w:hAnsi="Times New Roman" w:cs="Times New Roman"/>
          <w:color w:val="FF0000"/>
          <w:lang w:eastAsia="hr-HR"/>
        </w:rPr>
      </w:pPr>
    </w:p>
    <w:p w14:paraId="08F24716" w14:textId="77777777" w:rsidR="008E0B8F" w:rsidRDefault="008E0B8F" w:rsidP="00131D13">
      <w:pPr>
        <w:widowControl w:val="0"/>
        <w:spacing w:after="0" w:line="280" w:lineRule="exact"/>
        <w:jc w:val="both"/>
        <w:rPr>
          <w:rFonts w:ascii="Times New Roman" w:eastAsia="Times New Roman" w:hAnsi="Times New Roman" w:cs="Times New Roman"/>
          <w:b/>
        </w:rPr>
      </w:pPr>
    </w:p>
    <w:p w14:paraId="519DCCF1" w14:textId="3CC7CEF8" w:rsidR="008E0B8F" w:rsidRPr="00DE3E13" w:rsidRDefault="00DE3E13" w:rsidP="00DE3E13">
      <w:pPr>
        <w:widowControl w:val="0"/>
        <w:spacing w:after="0" w:line="280" w:lineRule="exact"/>
        <w:jc w:val="right"/>
        <w:rPr>
          <w:rFonts w:ascii="Times New Roman" w:eastAsia="Times New Roman" w:hAnsi="Times New Roman" w:cs="Times New Roman"/>
        </w:rPr>
      </w:pPr>
      <w:r w:rsidRPr="00DE3E13">
        <w:rPr>
          <w:rFonts w:ascii="Times New Roman" w:eastAsia="Times New Roman" w:hAnsi="Times New Roman" w:cs="Times New Roman"/>
        </w:rPr>
        <w:t>7</w:t>
      </w:r>
    </w:p>
    <w:p w14:paraId="2DCC0B00" w14:textId="77777777" w:rsidR="008E0B8F" w:rsidRDefault="008E0B8F" w:rsidP="00131D13">
      <w:pPr>
        <w:widowControl w:val="0"/>
        <w:spacing w:after="0" w:line="280" w:lineRule="exact"/>
        <w:jc w:val="both"/>
        <w:rPr>
          <w:rFonts w:ascii="Times New Roman" w:eastAsia="Times New Roman" w:hAnsi="Times New Roman" w:cs="Times New Roman"/>
          <w:b/>
        </w:rPr>
      </w:pPr>
    </w:p>
    <w:p w14:paraId="003EEBEE" w14:textId="77777777" w:rsidR="00D433F0" w:rsidRDefault="00D433F0" w:rsidP="00131D13">
      <w:pPr>
        <w:widowControl w:val="0"/>
        <w:spacing w:after="0" w:line="280" w:lineRule="exact"/>
        <w:jc w:val="both"/>
        <w:rPr>
          <w:rFonts w:ascii="Times New Roman" w:eastAsia="Times New Roman" w:hAnsi="Times New Roman" w:cs="Times New Roman"/>
          <w:b/>
        </w:rPr>
      </w:pPr>
    </w:p>
    <w:p w14:paraId="34BF709F" w14:textId="77777777" w:rsidR="00A80C5E" w:rsidRDefault="00A80C5E" w:rsidP="00131D13">
      <w:pPr>
        <w:widowControl w:val="0"/>
        <w:spacing w:after="0" w:line="280" w:lineRule="exact"/>
        <w:jc w:val="both"/>
        <w:rPr>
          <w:rFonts w:ascii="Times New Roman" w:eastAsia="Times New Roman" w:hAnsi="Times New Roman" w:cs="Times New Roman"/>
          <w:b/>
        </w:rPr>
      </w:pPr>
    </w:p>
    <w:p w14:paraId="2F5057E8" w14:textId="77777777" w:rsidR="00A80C5E" w:rsidRDefault="00A80C5E" w:rsidP="00131D13">
      <w:pPr>
        <w:widowControl w:val="0"/>
        <w:spacing w:after="0" w:line="280" w:lineRule="exact"/>
        <w:jc w:val="both"/>
        <w:rPr>
          <w:rFonts w:ascii="Times New Roman" w:eastAsia="Times New Roman" w:hAnsi="Times New Roman" w:cs="Times New Roman"/>
          <w:b/>
        </w:rPr>
      </w:pPr>
    </w:p>
    <w:p w14:paraId="418D203F" w14:textId="02BABC23" w:rsidR="00131D13" w:rsidRPr="00890AD6" w:rsidRDefault="003E28E9" w:rsidP="00131D13">
      <w:pPr>
        <w:widowControl w:val="0"/>
        <w:spacing w:after="0" w:line="280" w:lineRule="exact"/>
        <w:jc w:val="both"/>
        <w:rPr>
          <w:rFonts w:ascii="Times New Roman" w:eastAsia="Times New Roman" w:hAnsi="Times New Roman" w:cs="Times New Roman"/>
          <w:b/>
        </w:rPr>
      </w:pPr>
      <w:r w:rsidRPr="00890AD6">
        <w:rPr>
          <w:rFonts w:ascii="Times New Roman" w:eastAsia="Times New Roman" w:hAnsi="Times New Roman" w:cs="Times New Roman"/>
          <w:b/>
        </w:rPr>
        <w:lastRenderedPageBreak/>
        <w:t>B</w:t>
      </w:r>
      <w:r w:rsidR="00131D13" w:rsidRPr="00890AD6">
        <w:rPr>
          <w:rFonts w:ascii="Times New Roman" w:eastAsia="Times New Roman" w:hAnsi="Times New Roman" w:cs="Times New Roman"/>
          <w:b/>
        </w:rPr>
        <w:t>ilješka 6. Novac u banci i blagajni</w:t>
      </w:r>
    </w:p>
    <w:p w14:paraId="10016325" w14:textId="77777777" w:rsidR="0078665F" w:rsidRPr="00890AD6" w:rsidRDefault="0078665F" w:rsidP="0078665F">
      <w:pPr>
        <w:spacing w:after="0" w:line="276" w:lineRule="auto"/>
        <w:contextualSpacing/>
        <w:jc w:val="both"/>
        <w:rPr>
          <w:rFonts w:ascii="Times New Roman" w:eastAsia="Calibri" w:hAnsi="Times New Roman" w:cs="Times New Roman"/>
          <w:bCs/>
        </w:rPr>
      </w:pPr>
    </w:p>
    <w:p w14:paraId="563C63F7" w14:textId="7153149A" w:rsidR="00DB6824" w:rsidRPr="00890AD6" w:rsidRDefault="00DB6824" w:rsidP="00DB6824">
      <w:pPr>
        <w:spacing w:after="0" w:line="276" w:lineRule="auto"/>
        <w:contextualSpacing/>
        <w:jc w:val="both"/>
        <w:rPr>
          <w:rFonts w:ascii="Times New Roman" w:eastAsia="Calibri" w:hAnsi="Times New Roman" w:cs="Times New Roman"/>
          <w:bCs/>
        </w:rPr>
      </w:pPr>
      <w:r w:rsidRPr="00890AD6">
        <w:rPr>
          <w:rFonts w:ascii="Times New Roman" w:eastAsia="Calibri" w:hAnsi="Times New Roman" w:cs="Times New Roman"/>
          <w:bCs/>
        </w:rPr>
        <w:t>Pozicija Novac u banci i blagajni bilježi povećanje od 31% u odnosu na 2023., zbog povrata oročenog depozita u iznosu od  100.000</w:t>
      </w:r>
      <w:r w:rsidR="00247027" w:rsidRPr="00890AD6">
        <w:rPr>
          <w:rFonts w:ascii="Times New Roman" w:eastAsia="Calibri" w:hAnsi="Times New Roman" w:cs="Times New Roman"/>
          <w:bCs/>
        </w:rPr>
        <w:t>,00</w:t>
      </w:r>
      <w:r w:rsidRPr="00890AD6">
        <w:rPr>
          <w:rFonts w:ascii="Times New Roman" w:eastAsia="Calibri" w:hAnsi="Times New Roman" w:cs="Times New Roman"/>
          <w:bCs/>
        </w:rPr>
        <w:t xml:space="preserve"> EUR iz </w:t>
      </w:r>
      <w:proofErr w:type="spellStart"/>
      <w:r w:rsidRPr="00890AD6">
        <w:rPr>
          <w:rFonts w:ascii="Times New Roman" w:eastAsia="Calibri" w:hAnsi="Times New Roman" w:cs="Times New Roman"/>
          <w:bCs/>
        </w:rPr>
        <w:t>Kent</w:t>
      </w:r>
      <w:proofErr w:type="spellEnd"/>
      <w:r w:rsidRPr="00890AD6">
        <w:rPr>
          <w:rFonts w:ascii="Times New Roman" w:eastAsia="Calibri" w:hAnsi="Times New Roman" w:cs="Times New Roman"/>
          <w:bCs/>
        </w:rPr>
        <w:t xml:space="preserve"> d.d. Banke na račune Društva.</w:t>
      </w:r>
    </w:p>
    <w:p w14:paraId="1B8C1024" w14:textId="77777777" w:rsidR="00E57B75" w:rsidRPr="0075481A" w:rsidRDefault="00E57B75" w:rsidP="00E57B75">
      <w:pPr>
        <w:suppressAutoHyphens/>
        <w:autoSpaceDN w:val="0"/>
        <w:spacing w:after="0" w:line="276" w:lineRule="auto"/>
        <w:textAlignment w:val="baseline"/>
        <w:rPr>
          <w:rFonts w:ascii="Times New Roman" w:eastAsia="Calibri" w:hAnsi="Times New Roman" w:cs="Times New Roman"/>
          <w:b/>
          <w:noProof/>
          <w:color w:val="0F243E"/>
          <w:kern w:val="3"/>
          <w:lang w:eastAsia="hr-HR"/>
        </w:rPr>
      </w:pPr>
    </w:p>
    <w:p w14:paraId="3F6EC92A" w14:textId="77777777" w:rsidR="00131D13" w:rsidRPr="00890AD6" w:rsidRDefault="00131D13" w:rsidP="00131D13">
      <w:pPr>
        <w:widowControl w:val="0"/>
        <w:spacing w:after="0" w:line="280" w:lineRule="exact"/>
        <w:rPr>
          <w:rFonts w:ascii="Times New Roman" w:eastAsia="Times New Roman" w:hAnsi="Times New Roman" w:cs="Times New Roman"/>
          <w:b/>
          <w:bCs/>
        </w:rPr>
      </w:pPr>
      <w:r w:rsidRPr="00890AD6">
        <w:rPr>
          <w:rFonts w:ascii="Times New Roman" w:eastAsia="Times New Roman" w:hAnsi="Times New Roman" w:cs="Times New Roman"/>
          <w:b/>
          <w:bCs/>
        </w:rPr>
        <w:t>Bilješka 7. Plaćeni troškovi budućeg razdoblja i obračunati prihodi</w:t>
      </w:r>
    </w:p>
    <w:p w14:paraId="1767226A" w14:textId="77777777" w:rsidR="00422B81" w:rsidRPr="00890AD6" w:rsidRDefault="00422B81" w:rsidP="00131D13">
      <w:pPr>
        <w:widowControl w:val="0"/>
        <w:spacing w:after="0" w:line="280" w:lineRule="exact"/>
        <w:rPr>
          <w:rFonts w:ascii="Times New Roman" w:eastAsia="Times New Roman" w:hAnsi="Times New Roman" w:cs="Times New Roman"/>
          <w:b/>
          <w:bCs/>
        </w:rPr>
      </w:pPr>
    </w:p>
    <w:p w14:paraId="6B80D66E" w14:textId="4E8016B3" w:rsidR="00DB6824" w:rsidRPr="00890AD6" w:rsidRDefault="00DB6824" w:rsidP="00DB6824">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Na poziciji plaćenih troškova budućeg razdoblja i obračunatih prihoda evidentirano je 2.558</w:t>
      </w:r>
      <w:r w:rsidR="00E5110D" w:rsidRPr="00890AD6">
        <w:rPr>
          <w:rFonts w:ascii="Times New Roman" w:eastAsia="Calibri" w:hAnsi="Times New Roman" w:cs="Times New Roman"/>
        </w:rPr>
        <w:t>,45</w:t>
      </w:r>
      <w:r w:rsidRPr="00890AD6">
        <w:rPr>
          <w:rFonts w:ascii="Times New Roman" w:eastAsia="Calibri" w:hAnsi="Times New Roman" w:cs="Times New Roman"/>
        </w:rPr>
        <w:t xml:space="preserve"> EUR, što se odnosi na unaprijed plaćene troškove Bina Istra, HAC i ARZ (ENC uređaj) i stručnu literaturu.</w:t>
      </w:r>
    </w:p>
    <w:p w14:paraId="570C3C74" w14:textId="77777777" w:rsidR="00131D13" w:rsidRPr="00890AD6" w:rsidRDefault="00131D13" w:rsidP="003C5F17">
      <w:pPr>
        <w:widowControl w:val="0"/>
        <w:spacing w:after="0" w:line="280" w:lineRule="exact"/>
        <w:jc w:val="right"/>
        <w:rPr>
          <w:rFonts w:ascii="Times New Roman" w:eastAsia="Times New Roman" w:hAnsi="Times New Roman" w:cs="Times New Roman"/>
        </w:rPr>
      </w:pPr>
    </w:p>
    <w:p w14:paraId="0B7809B5" w14:textId="77777777" w:rsidR="00131D13" w:rsidRPr="00890AD6" w:rsidRDefault="00131D13" w:rsidP="00131D13">
      <w:pPr>
        <w:spacing w:after="0" w:line="240" w:lineRule="auto"/>
        <w:jc w:val="both"/>
        <w:rPr>
          <w:rFonts w:ascii="Times New Roman" w:eastAsia="Times New Roman" w:hAnsi="Times New Roman" w:cs="Times New Roman"/>
          <w:b/>
        </w:rPr>
      </w:pPr>
      <w:r w:rsidRPr="00890AD6">
        <w:rPr>
          <w:rFonts w:ascii="Times New Roman" w:eastAsia="Times New Roman" w:hAnsi="Times New Roman" w:cs="Times New Roman"/>
          <w:b/>
        </w:rPr>
        <w:t xml:space="preserve">Bilješka  8. </w:t>
      </w:r>
      <w:r w:rsidRPr="00890AD6">
        <w:rPr>
          <w:rFonts w:ascii="Times New Roman" w:eastAsia="Times New Roman" w:hAnsi="Times New Roman" w:cs="Times New Roman"/>
          <w:b/>
        </w:rPr>
        <w:tab/>
        <w:t>Kapital i rezerve</w:t>
      </w:r>
    </w:p>
    <w:p w14:paraId="3F37ABBB" w14:textId="77777777" w:rsidR="00DB6824" w:rsidRPr="00890AD6" w:rsidRDefault="00DB6824" w:rsidP="00DB6824">
      <w:pPr>
        <w:spacing w:after="0" w:line="276" w:lineRule="auto"/>
        <w:contextualSpacing/>
        <w:jc w:val="both"/>
        <w:rPr>
          <w:rFonts w:ascii="Times New Roman" w:eastAsia="Calibri" w:hAnsi="Times New Roman" w:cs="Times New Roman"/>
          <w:bCs/>
          <w:szCs w:val="20"/>
        </w:rPr>
      </w:pPr>
    </w:p>
    <w:p w14:paraId="38B27F16" w14:textId="680DC741" w:rsidR="00DB6824" w:rsidRPr="00890AD6" w:rsidRDefault="00DB6824" w:rsidP="00DB6824">
      <w:pPr>
        <w:spacing w:after="0" w:line="276" w:lineRule="auto"/>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Ukupna pasiva na kraju 2024. godine iznosi 1.345.382</w:t>
      </w:r>
      <w:r w:rsidR="00E256F8">
        <w:rPr>
          <w:rFonts w:ascii="Times New Roman" w:eastAsia="Calibri" w:hAnsi="Times New Roman" w:cs="Times New Roman"/>
          <w:bCs/>
          <w:szCs w:val="20"/>
        </w:rPr>
        <w:t>,18</w:t>
      </w:r>
      <w:bookmarkStart w:id="0" w:name="_GoBack"/>
      <w:bookmarkEnd w:id="0"/>
      <w:r w:rsidRPr="00890AD6">
        <w:rPr>
          <w:rFonts w:ascii="Times New Roman" w:eastAsia="Calibri" w:hAnsi="Times New Roman" w:cs="Times New Roman"/>
          <w:bCs/>
          <w:szCs w:val="20"/>
        </w:rPr>
        <w:t xml:space="preserve"> EUR. U sklopu iste udio od 64% ima skupina kapital i rezerve.</w:t>
      </w:r>
    </w:p>
    <w:p w14:paraId="32C24409" w14:textId="77777777" w:rsidR="00DB6824" w:rsidRPr="00890AD6" w:rsidRDefault="00DB6824" w:rsidP="00DB6824">
      <w:pPr>
        <w:spacing w:after="0" w:line="276" w:lineRule="auto"/>
        <w:contextualSpacing/>
        <w:jc w:val="both"/>
        <w:rPr>
          <w:rFonts w:ascii="Times New Roman" w:eastAsia="Calibri" w:hAnsi="Times New Roman" w:cs="Times New Roman"/>
          <w:bCs/>
          <w:szCs w:val="20"/>
        </w:rPr>
      </w:pPr>
    </w:p>
    <w:p w14:paraId="61B8ED53" w14:textId="77777777" w:rsidR="00DB6824" w:rsidRPr="00890AD6" w:rsidRDefault="00DB6824" w:rsidP="00DB6824">
      <w:pPr>
        <w:spacing w:after="240" w:line="276" w:lineRule="auto"/>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Struktura skupine je sljedeća:</w:t>
      </w:r>
    </w:p>
    <w:p w14:paraId="0E75841D" w14:textId="22F3AEFD" w:rsidR="00DB6824" w:rsidRPr="00890AD6" w:rsidRDefault="00DB6824" w:rsidP="00DB6824">
      <w:pPr>
        <w:numPr>
          <w:ilvl w:val="0"/>
          <w:numId w:val="3"/>
        </w:numPr>
        <w:spacing w:after="0" w:line="276" w:lineRule="auto"/>
        <w:ind w:left="284" w:hanging="284"/>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Upisani temeljni kapital – 156.810</w:t>
      </w:r>
      <w:r w:rsidR="00E5110D" w:rsidRPr="00890AD6">
        <w:rPr>
          <w:rFonts w:ascii="Times New Roman" w:eastAsia="Calibri" w:hAnsi="Times New Roman" w:cs="Times New Roman"/>
          <w:bCs/>
          <w:szCs w:val="20"/>
        </w:rPr>
        <w:t>,00</w:t>
      </w:r>
      <w:r w:rsidRPr="00890AD6">
        <w:rPr>
          <w:rFonts w:ascii="Times New Roman" w:eastAsia="Calibri" w:hAnsi="Times New Roman" w:cs="Times New Roman"/>
          <w:bCs/>
          <w:szCs w:val="20"/>
        </w:rPr>
        <w:t xml:space="preserve"> EUR</w:t>
      </w:r>
    </w:p>
    <w:p w14:paraId="4D5A02C8" w14:textId="2F0E5B2B" w:rsidR="00DB6824" w:rsidRPr="00890AD6" w:rsidRDefault="00DB6824" w:rsidP="00DB6824">
      <w:pPr>
        <w:numPr>
          <w:ilvl w:val="0"/>
          <w:numId w:val="3"/>
        </w:numPr>
        <w:spacing w:after="0" w:line="276" w:lineRule="auto"/>
        <w:ind w:left="284" w:hanging="284"/>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Revalorizacijske rezerve i rezerve fer vrijednosti – 115.46</w:t>
      </w:r>
      <w:r w:rsidR="00E5110D" w:rsidRPr="00890AD6">
        <w:rPr>
          <w:rFonts w:ascii="Times New Roman" w:eastAsia="Calibri" w:hAnsi="Times New Roman" w:cs="Times New Roman"/>
          <w:bCs/>
          <w:szCs w:val="20"/>
        </w:rPr>
        <w:t>5,84</w:t>
      </w:r>
      <w:r w:rsidRPr="00890AD6">
        <w:rPr>
          <w:rFonts w:ascii="Times New Roman" w:eastAsia="Calibri" w:hAnsi="Times New Roman" w:cs="Times New Roman"/>
          <w:bCs/>
          <w:szCs w:val="20"/>
        </w:rPr>
        <w:t xml:space="preserve"> EUR</w:t>
      </w:r>
    </w:p>
    <w:p w14:paraId="11299FFB" w14:textId="3A50653C" w:rsidR="00DB6824" w:rsidRPr="00890AD6" w:rsidRDefault="00DB6824" w:rsidP="00DB6824">
      <w:pPr>
        <w:numPr>
          <w:ilvl w:val="0"/>
          <w:numId w:val="3"/>
        </w:numPr>
        <w:spacing w:after="0" w:line="276" w:lineRule="auto"/>
        <w:ind w:left="284" w:hanging="284"/>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Zadržana dobit (dobit prijašnjih godina) – 550.75</w:t>
      </w:r>
      <w:r w:rsidR="00E5110D" w:rsidRPr="00890AD6">
        <w:rPr>
          <w:rFonts w:ascii="Times New Roman" w:eastAsia="Calibri" w:hAnsi="Times New Roman" w:cs="Times New Roman"/>
          <w:bCs/>
          <w:szCs w:val="20"/>
        </w:rPr>
        <w:t>6,90</w:t>
      </w:r>
      <w:r w:rsidRPr="00890AD6">
        <w:rPr>
          <w:rFonts w:ascii="Times New Roman" w:eastAsia="Calibri" w:hAnsi="Times New Roman" w:cs="Times New Roman"/>
          <w:bCs/>
          <w:szCs w:val="20"/>
        </w:rPr>
        <w:t xml:space="preserve"> EUR</w:t>
      </w:r>
    </w:p>
    <w:p w14:paraId="04EB1430" w14:textId="39488C62" w:rsidR="00DB6824" w:rsidRPr="00890AD6" w:rsidRDefault="00DB6824" w:rsidP="00DB6824">
      <w:pPr>
        <w:numPr>
          <w:ilvl w:val="0"/>
          <w:numId w:val="3"/>
        </w:numPr>
        <w:spacing w:after="0" w:line="276" w:lineRule="auto"/>
        <w:ind w:left="284" w:hanging="284"/>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Dobit tekuće godine (dobit nakon oporezivanja) – 41.416</w:t>
      </w:r>
      <w:r w:rsidR="00E5110D" w:rsidRPr="00890AD6">
        <w:rPr>
          <w:rFonts w:ascii="Times New Roman" w:eastAsia="Calibri" w:hAnsi="Times New Roman" w:cs="Times New Roman"/>
          <w:bCs/>
          <w:szCs w:val="20"/>
        </w:rPr>
        <w:t>,32</w:t>
      </w:r>
      <w:r w:rsidRPr="00890AD6">
        <w:rPr>
          <w:rFonts w:ascii="Times New Roman" w:eastAsia="Calibri" w:hAnsi="Times New Roman" w:cs="Times New Roman"/>
          <w:bCs/>
          <w:szCs w:val="20"/>
        </w:rPr>
        <w:t xml:space="preserve"> EUR.</w:t>
      </w:r>
    </w:p>
    <w:p w14:paraId="49722B29" w14:textId="77777777" w:rsidR="00DB6824" w:rsidRPr="00890AD6" w:rsidRDefault="00DB6824" w:rsidP="00DB6824">
      <w:pPr>
        <w:spacing w:after="0" w:line="276" w:lineRule="auto"/>
        <w:contextualSpacing/>
        <w:jc w:val="both"/>
        <w:rPr>
          <w:rFonts w:ascii="Times New Roman" w:eastAsia="Calibri" w:hAnsi="Times New Roman" w:cs="Times New Roman"/>
          <w:bCs/>
          <w:szCs w:val="20"/>
        </w:rPr>
      </w:pPr>
    </w:p>
    <w:p w14:paraId="3BEEA6CD" w14:textId="77777777" w:rsidR="00DB6824" w:rsidRPr="00890AD6" w:rsidRDefault="00DB6824" w:rsidP="00DB6824">
      <w:pPr>
        <w:spacing w:after="0" w:line="276" w:lineRule="auto"/>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Na poziciji temeljnog kapitala izvršena su usklađenja:</w:t>
      </w:r>
    </w:p>
    <w:p w14:paraId="4D81D752" w14:textId="2F3E606C" w:rsidR="00DB6824" w:rsidRPr="00890AD6" w:rsidRDefault="00DB6824" w:rsidP="00DB6824">
      <w:pPr>
        <w:numPr>
          <w:ilvl w:val="0"/>
          <w:numId w:val="7"/>
        </w:numPr>
        <w:spacing w:after="0" w:line="276" w:lineRule="auto"/>
        <w:contextualSpacing/>
        <w:jc w:val="both"/>
        <w:rPr>
          <w:rFonts w:ascii="Times New Roman" w:eastAsia="Calibri" w:hAnsi="Times New Roman" w:cs="Times New Roman"/>
          <w:bCs/>
          <w:i/>
          <w:szCs w:val="20"/>
        </w:rPr>
      </w:pPr>
      <w:r w:rsidRPr="00890AD6">
        <w:rPr>
          <w:rFonts w:ascii="Times New Roman" w:eastAsia="Calibri" w:hAnsi="Times New Roman" w:cs="Times New Roman"/>
          <w:bCs/>
          <w:szCs w:val="20"/>
        </w:rPr>
        <w:t xml:space="preserve">Izvršeno je </w:t>
      </w:r>
      <w:proofErr w:type="spellStart"/>
      <w:r w:rsidRPr="00890AD6">
        <w:rPr>
          <w:rFonts w:ascii="Times New Roman" w:eastAsia="Calibri" w:hAnsi="Times New Roman" w:cs="Times New Roman"/>
          <w:bCs/>
          <w:szCs w:val="20"/>
        </w:rPr>
        <w:t>isknjiženje</w:t>
      </w:r>
      <w:proofErr w:type="spellEnd"/>
      <w:r w:rsidRPr="00890AD6">
        <w:rPr>
          <w:rFonts w:ascii="Times New Roman" w:eastAsia="Calibri" w:hAnsi="Times New Roman" w:cs="Times New Roman"/>
          <w:bCs/>
          <w:szCs w:val="20"/>
        </w:rPr>
        <w:t xml:space="preserve"> stana Viška 24 u Puli, u iznosu od 17.867</w:t>
      </w:r>
      <w:r w:rsidR="00E5110D" w:rsidRPr="00890AD6">
        <w:rPr>
          <w:rFonts w:ascii="Times New Roman" w:eastAsia="Calibri" w:hAnsi="Times New Roman" w:cs="Times New Roman"/>
          <w:bCs/>
          <w:szCs w:val="20"/>
        </w:rPr>
        <w:t>,14</w:t>
      </w:r>
      <w:r w:rsidRPr="00890AD6">
        <w:rPr>
          <w:rFonts w:ascii="Times New Roman" w:eastAsia="Calibri" w:hAnsi="Times New Roman" w:cs="Times New Roman"/>
          <w:bCs/>
          <w:szCs w:val="20"/>
        </w:rPr>
        <w:t xml:space="preserve"> EUR, koje je obrazloženo u tumačenju Izvještaja pozicije </w:t>
      </w:r>
      <w:r w:rsidRPr="00890AD6">
        <w:rPr>
          <w:rFonts w:ascii="Times New Roman" w:eastAsia="Calibri" w:hAnsi="Times New Roman" w:cs="Times New Roman"/>
          <w:bCs/>
          <w:i/>
          <w:szCs w:val="20"/>
        </w:rPr>
        <w:t xml:space="preserve">materijalna imovina </w:t>
      </w:r>
    </w:p>
    <w:p w14:paraId="092E3E42" w14:textId="77777777" w:rsidR="00DB6824" w:rsidRPr="00890AD6" w:rsidRDefault="00DB6824" w:rsidP="00DB6824">
      <w:pPr>
        <w:numPr>
          <w:ilvl w:val="0"/>
          <w:numId w:val="7"/>
        </w:numPr>
        <w:spacing w:after="0" w:line="276" w:lineRule="auto"/>
        <w:contextualSpacing/>
        <w:jc w:val="both"/>
        <w:rPr>
          <w:rFonts w:ascii="Times New Roman" w:eastAsia="Calibri" w:hAnsi="Times New Roman" w:cs="Times New Roman"/>
          <w:bCs/>
          <w:i/>
          <w:szCs w:val="20"/>
        </w:rPr>
      </w:pPr>
      <w:r w:rsidRPr="00890AD6">
        <w:rPr>
          <w:rFonts w:ascii="Times New Roman" w:eastAsia="Calibri" w:hAnsi="Times New Roman" w:cs="Times New Roman"/>
          <w:bCs/>
          <w:szCs w:val="20"/>
        </w:rPr>
        <w:t xml:space="preserve">Izvršeno je usklađenje upisanog i uplaćenog temeljnog kapitala u Trgovačkom sudu, smanjenjem temeljnog kapitala u iznosu od 0,94 EUR, s razlogom uvođenja EUR-a, a temeljem zakonskog okvira NN 114/23 i 38/23. </w:t>
      </w:r>
    </w:p>
    <w:p w14:paraId="4E1718CE" w14:textId="77777777" w:rsidR="00DB6824" w:rsidRPr="00890AD6" w:rsidRDefault="00DB6824" w:rsidP="00DB6824">
      <w:pPr>
        <w:spacing w:after="0" w:line="276" w:lineRule="auto"/>
        <w:contextualSpacing/>
        <w:jc w:val="both"/>
        <w:rPr>
          <w:rFonts w:ascii="Times New Roman" w:eastAsia="Calibri" w:hAnsi="Times New Roman" w:cs="Times New Roman"/>
          <w:bCs/>
          <w:szCs w:val="20"/>
        </w:rPr>
      </w:pPr>
      <w:r w:rsidRPr="00890AD6">
        <w:rPr>
          <w:rFonts w:ascii="Times New Roman" w:eastAsia="Calibri" w:hAnsi="Times New Roman" w:cs="Times New Roman"/>
          <w:bCs/>
          <w:szCs w:val="20"/>
        </w:rPr>
        <w:t>Revalorizacijske rezerve ostale su nepromijenjene u odnosu na prethodnu godinu, a nastale su tijekom 1995. godine prema Zakonskim odredbama.</w:t>
      </w:r>
    </w:p>
    <w:p w14:paraId="671F84D4" w14:textId="77777777" w:rsidR="00DB6824" w:rsidRPr="00890AD6" w:rsidRDefault="00DB6824" w:rsidP="00DB6824">
      <w:pPr>
        <w:spacing w:after="0" w:line="276" w:lineRule="auto"/>
        <w:contextualSpacing/>
        <w:jc w:val="both"/>
        <w:rPr>
          <w:rFonts w:ascii="Times New Roman" w:eastAsia="Calibri" w:hAnsi="Times New Roman" w:cs="Times New Roman"/>
          <w:b/>
          <w:color w:val="17365D"/>
        </w:rPr>
      </w:pPr>
    </w:p>
    <w:p w14:paraId="0AF52704" w14:textId="77777777" w:rsidR="00131D13" w:rsidRPr="00890AD6" w:rsidRDefault="00131D13" w:rsidP="00131D13">
      <w:pPr>
        <w:spacing w:after="0" w:line="276" w:lineRule="auto"/>
        <w:contextualSpacing/>
        <w:jc w:val="both"/>
        <w:rPr>
          <w:rFonts w:ascii="Times New Roman" w:eastAsia="Calibri" w:hAnsi="Times New Roman" w:cs="Times New Roman"/>
          <w:b/>
          <w:bCs/>
        </w:rPr>
      </w:pPr>
      <w:r w:rsidRPr="00890AD6">
        <w:rPr>
          <w:rFonts w:ascii="Times New Roman" w:eastAsia="Calibri" w:hAnsi="Times New Roman" w:cs="Times New Roman"/>
          <w:b/>
          <w:bCs/>
        </w:rPr>
        <w:t>Bilješke 9. Rezerviranja</w:t>
      </w:r>
    </w:p>
    <w:p w14:paraId="7FE9787E" w14:textId="77777777" w:rsidR="003E28E9" w:rsidRPr="00890AD6" w:rsidRDefault="003E28E9" w:rsidP="00F42FCB">
      <w:pPr>
        <w:spacing w:after="0" w:line="276" w:lineRule="auto"/>
        <w:contextualSpacing/>
        <w:jc w:val="both"/>
        <w:rPr>
          <w:rFonts w:ascii="Times New Roman" w:eastAsia="Times New Roman" w:hAnsi="Times New Roman" w:cs="Times New Roman"/>
          <w:noProof/>
        </w:rPr>
      </w:pPr>
    </w:p>
    <w:p w14:paraId="042082B1" w14:textId="0697E8ED" w:rsidR="00DB6824" w:rsidRPr="00890AD6" w:rsidRDefault="00DB6824" w:rsidP="00DB6824">
      <w:pPr>
        <w:spacing w:after="0" w:line="276" w:lineRule="auto"/>
        <w:contextualSpacing/>
        <w:jc w:val="both"/>
        <w:rPr>
          <w:rFonts w:ascii="Times New Roman" w:eastAsia="Times New Roman" w:hAnsi="Times New Roman" w:cs="Times New Roman"/>
          <w:noProof/>
        </w:rPr>
      </w:pPr>
      <w:r w:rsidRPr="00890AD6">
        <w:rPr>
          <w:rFonts w:ascii="Times New Roman" w:eastAsia="Times New Roman" w:hAnsi="Times New Roman" w:cs="Times New Roman"/>
          <w:noProof/>
        </w:rPr>
        <w:t>U 2024. godini rezervirana su sredstva za otpremnine (mirovine radnika) u iznosu od 69.40</w:t>
      </w:r>
      <w:r w:rsidR="00E5110D" w:rsidRPr="00890AD6">
        <w:rPr>
          <w:rFonts w:ascii="Times New Roman" w:eastAsia="Times New Roman" w:hAnsi="Times New Roman" w:cs="Times New Roman"/>
          <w:noProof/>
        </w:rPr>
        <w:t>4,60</w:t>
      </w:r>
      <w:r w:rsidRPr="00890AD6">
        <w:rPr>
          <w:rFonts w:ascii="Times New Roman" w:eastAsia="Times New Roman" w:hAnsi="Times New Roman" w:cs="Times New Roman"/>
          <w:noProof/>
        </w:rPr>
        <w:t xml:space="preserve"> EUR.</w:t>
      </w:r>
    </w:p>
    <w:p w14:paraId="6E4282E9" w14:textId="77777777" w:rsidR="00DB6824" w:rsidRPr="00890AD6" w:rsidRDefault="00DB6824" w:rsidP="00DB6824">
      <w:pPr>
        <w:spacing w:after="0" w:line="276" w:lineRule="auto"/>
        <w:contextualSpacing/>
        <w:jc w:val="both"/>
        <w:rPr>
          <w:rFonts w:ascii="Times New Roman" w:eastAsia="Times New Roman" w:hAnsi="Times New Roman" w:cs="Times New Roman"/>
          <w:b/>
          <w:noProof/>
        </w:rPr>
      </w:pPr>
    </w:p>
    <w:p w14:paraId="35FB3781" w14:textId="77777777" w:rsidR="00A81432" w:rsidRPr="00890AD6" w:rsidRDefault="00A81432" w:rsidP="00131D13">
      <w:pPr>
        <w:spacing w:after="0" w:line="276" w:lineRule="auto"/>
        <w:contextualSpacing/>
        <w:jc w:val="both"/>
        <w:rPr>
          <w:rFonts w:ascii="Times New Roman" w:eastAsia="Calibri" w:hAnsi="Times New Roman" w:cs="Times New Roman"/>
          <w:b/>
          <w:bCs/>
        </w:rPr>
      </w:pPr>
    </w:p>
    <w:p w14:paraId="17686CD7" w14:textId="42F60965" w:rsidR="00131D13" w:rsidRPr="00890AD6" w:rsidRDefault="00DB6824" w:rsidP="00131D13">
      <w:pPr>
        <w:spacing w:after="0" w:line="276" w:lineRule="auto"/>
        <w:contextualSpacing/>
        <w:jc w:val="both"/>
        <w:rPr>
          <w:rFonts w:ascii="Times New Roman" w:eastAsia="Calibri" w:hAnsi="Times New Roman" w:cs="Times New Roman"/>
          <w:b/>
        </w:rPr>
      </w:pPr>
      <w:r w:rsidRPr="00890AD6">
        <w:rPr>
          <w:rFonts w:ascii="Times New Roman" w:eastAsia="Calibri" w:hAnsi="Times New Roman" w:cs="Times New Roman"/>
          <w:b/>
        </w:rPr>
        <w:t>B</w:t>
      </w:r>
      <w:r w:rsidR="00131D13" w:rsidRPr="00890AD6">
        <w:rPr>
          <w:rFonts w:ascii="Times New Roman" w:eastAsia="Calibri" w:hAnsi="Times New Roman" w:cs="Times New Roman"/>
          <w:b/>
        </w:rPr>
        <w:t>ilješke 10. Dugoročne obveze</w:t>
      </w:r>
    </w:p>
    <w:p w14:paraId="04D83CDA" w14:textId="77777777" w:rsidR="0078665F" w:rsidRPr="00890AD6" w:rsidRDefault="0078665F" w:rsidP="0078665F">
      <w:pPr>
        <w:spacing w:after="0" w:line="276" w:lineRule="auto"/>
        <w:contextualSpacing/>
        <w:jc w:val="both"/>
        <w:rPr>
          <w:rFonts w:ascii="Times New Roman" w:eastAsia="Calibri" w:hAnsi="Times New Roman" w:cs="Times New Roman"/>
        </w:rPr>
      </w:pPr>
    </w:p>
    <w:p w14:paraId="04A581D2" w14:textId="0F9D393B" w:rsidR="00DB6824" w:rsidRPr="00890AD6" w:rsidRDefault="00DB6824" w:rsidP="00DB6824">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Na dan 31.12.2023. Društvo je evidentiralo 82.84</w:t>
      </w:r>
      <w:r w:rsidR="00E5110D" w:rsidRPr="00890AD6">
        <w:rPr>
          <w:rFonts w:ascii="Times New Roman" w:eastAsia="Calibri" w:hAnsi="Times New Roman" w:cs="Times New Roman"/>
        </w:rPr>
        <w:t>1,94</w:t>
      </w:r>
      <w:r w:rsidRPr="00890AD6">
        <w:rPr>
          <w:rFonts w:ascii="Times New Roman" w:eastAsia="Calibri" w:hAnsi="Times New Roman" w:cs="Times New Roman"/>
        </w:rPr>
        <w:t xml:space="preserve"> EUR obveza prema bankama i drugim financijskim institucijama, dok na dan 31.12.2024. godine na spomenutoj  poziciji nema iskazanih obveza s razlogom prijevremene otplate kredita. </w:t>
      </w:r>
    </w:p>
    <w:p w14:paraId="66880E40" w14:textId="77777777" w:rsidR="008675AD" w:rsidRPr="00890AD6" w:rsidRDefault="008675AD" w:rsidP="0078665F">
      <w:pPr>
        <w:spacing w:after="0" w:line="276" w:lineRule="auto"/>
        <w:contextualSpacing/>
        <w:jc w:val="both"/>
        <w:rPr>
          <w:rFonts w:ascii="Times New Roman" w:eastAsia="Calibri" w:hAnsi="Times New Roman" w:cs="Times New Roman"/>
        </w:rPr>
      </w:pPr>
    </w:p>
    <w:p w14:paraId="5C71F788" w14:textId="585BC254" w:rsidR="00DB6824" w:rsidRPr="00890AD6" w:rsidRDefault="00DE3E13" w:rsidP="00DE3E13">
      <w:pPr>
        <w:widowControl w:val="0"/>
        <w:spacing w:after="0" w:line="280" w:lineRule="exact"/>
        <w:jc w:val="right"/>
        <w:rPr>
          <w:rFonts w:ascii="Times New Roman" w:eastAsia="Times New Roman" w:hAnsi="Times New Roman" w:cs="Times New Roman"/>
        </w:rPr>
      </w:pPr>
      <w:r w:rsidRPr="00890AD6">
        <w:rPr>
          <w:rFonts w:ascii="Times New Roman" w:eastAsia="Times New Roman" w:hAnsi="Times New Roman" w:cs="Times New Roman"/>
        </w:rPr>
        <w:t>8</w:t>
      </w:r>
    </w:p>
    <w:p w14:paraId="38493872" w14:textId="77777777" w:rsidR="00A80C5E" w:rsidRDefault="00A80C5E" w:rsidP="00131D13">
      <w:pPr>
        <w:widowControl w:val="0"/>
        <w:spacing w:after="0" w:line="280" w:lineRule="exact"/>
        <w:jc w:val="both"/>
        <w:rPr>
          <w:rFonts w:ascii="Times New Roman" w:eastAsia="Times New Roman" w:hAnsi="Times New Roman" w:cs="Times New Roman"/>
          <w:b/>
        </w:rPr>
      </w:pPr>
    </w:p>
    <w:p w14:paraId="6C074D18" w14:textId="77777777" w:rsidR="00A80C5E" w:rsidRDefault="00A80C5E" w:rsidP="00131D13">
      <w:pPr>
        <w:widowControl w:val="0"/>
        <w:spacing w:after="0" w:line="280" w:lineRule="exact"/>
        <w:jc w:val="both"/>
        <w:rPr>
          <w:rFonts w:ascii="Times New Roman" w:eastAsia="Times New Roman" w:hAnsi="Times New Roman" w:cs="Times New Roman"/>
          <w:b/>
        </w:rPr>
      </w:pPr>
    </w:p>
    <w:p w14:paraId="6F259032" w14:textId="77777777" w:rsidR="00A80C5E" w:rsidRDefault="00A80C5E" w:rsidP="00131D13">
      <w:pPr>
        <w:widowControl w:val="0"/>
        <w:spacing w:after="0" w:line="280" w:lineRule="exact"/>
        <w:jc w:val="both"/>
        <w:rPr>
          <w:rFonts w:ascii="Times New Roman" w:eastAsia="Times New Roman" w:hAnsi="Times New Roman" w:cs="Times New Roman"/>
          <w:b/>
        </w:rPr>
      </w:pPr>
    </w:p>
    <w:p w14:paraId="76E9FCEF" w14:textId="77777777" w:rsidR="00131D13" w:rsidRPr="00890AD6" w:rsidRDefault="00131D13" w:rsidP="00131D13">
      <w:pPr>
        <w:widowControl w:val="0"/>
        <w:spacing w:after="0" w:line="280" w:lineRule="exact"/>
        <w:jc w:val="both"/>
        <w:rPr>
          <w:rFonts w:ascii="Times New Roman" w:eastAsia="Times New Roman" w:hAnsi="Times New Roman" w:cs="Times New Roman"/>
          <w:b/>
        </w:rPr>
      </w:pPr>
      <w:r w:rsidRPr="00890AD6">
        <w:rPr>
          <w:rFonts w:ascii="Times New Roman" w:eastAsia="Times New Roman" w:hAnsi="Times New Roman" w:cs="Times New Roman"/>
          <w:b/>
        </w:rPr>
        <w:lastRenderedPageBreak/>
        <w:t>Bilješka 11. Kratkoročne obveze</w:t>
      </w:r>
    </w:p>
    <w:p w14:paraId="533C362F" w14:textId="77777777" w:rsidR="00B40BCA" w:rsidRPr="00890AD6" w:rsidRDefault="00B40BCA" w:rsidP="00131D13">
      <w:pPr>
        <w:widowControl w:val="0"/>
        <w:spacing w:after="0" w:line="280" w:lineRule="exact"/>
        <w:jc w:val="both"/>
        <w:rPr>
          <w:rFonts w:ascii="Times New Roman" w:eastAsia="Times New Roman" w:hAnsi="Times New Roman" w:cs="Times New Roman"/>
          <w:b/>
        </w:rPr>
      </w:pPr>
    </w:p>
    <w:p w14:paraId="03447FDD" w14:textId="1DA957E4" w:rsidR="00DB6824" w:rsidRPr="00890AD6" w:rsidRDefault="00DB6824" w:rsidP="00DB6824">
      <w:pPr>
        <w:spacing w:after="0" w:line="276" w:lineRule="auto"/>
        <w:contextualSpacing/>
        <w:jc w:val="both"/>
        <w:rPr>
          <w:rFonts w:ascii="Times New Roman" w:eastAsia="Calibri" w:hAnsi="Times New Roman" w:cs="Times New Roman"/>
        </w:rPr>
      </w:pPr>
      <w:r w:rsidRPr="00890AD6">
        <w:rPr>
          <w:rFonts w:ascii="Times New Roman" w:eastAsia="Calibri" w:hAnsi="Times New Roman" w:cs="Times New Roman"/>
        </w:rPr>
        <w:t>Kratkoročne obveze na zadnji dan 2024. godine iznose 231.477</w:t>
      </w:r>
      <w:r w:rsidR="00E5110D" w:rsidRPr="00890AD6">
        <w:rPr>
          <w:rFonts w:ascii="Times New Roman" w:eastAsia="Calibri" w:hAnsi="Times New Roman" w:cs="Times New Roman"/>
        </w:rPr>
        <w:t>,02</w:t>
      </w:r>
      <w:r w:rsidRPr="00890AD6">
        <w:rPr>
          <w:rFonts w:ascii="Times New Roman" w:eastAsia="Calibri" w:hAnsi="Times New Roman" w:cs="Times New Roman"/>
        </w:rPr>
        <w:t xml:space="preserve"> EUR te bilježe smanjenje  vrijednosti od 68% u odnosu na 2023. godinu. </w:t>
      </w:r>
    </w:p>
    <w:p w14:paraId="75EA052B" w14:textId="77777777" w:rsidR="00DB6824" w:rsidRPr="00DB6824" w:rsidRDefault="00DB6824" w:rsidP="00DB6824">
      <w:pPr>
        <w:spacing w:after="0" w:line="276" w:lineRule="auto"/>
        <w:contextualSpacing/>
        <w:jc w:val="both"/>
        <w:rPr>
          <w:rFonts w:ascii="Cambria" w:eastAsia="Calibri" w:hAnsi="Cambria" w:cs="Times New Roman"/>
        </w:rPr>
      </w:pPr>
    </w:p>
    <w:p w14:paraId="2DD53231" w14:textId="77777777" w:rsidR="00DB6824" w:rsidRPr="00DB6824" w:rsidRDefault="00DB6824" w:rsidP="00DB6824">
      <w:pPr>
        <w:spacing w:after="0" w:line="276" w:lineRule="auto"/>
        <w:contextualSpacing/>
        <w:jc w:val="both"/>
        <w:rPr>
          <w:rFonts w:ascii="Cambria" w:eastAsia="Calibri" w:hAnsi="Cambria" w:cs="Times New Roman"/>
        </w:rPr>
      </w:pPr>
      <w:r w:rsidRPr="00DB6824">
        <w:rPr>
          <w:rFonts w:ascii="Cambria" w:eastAsia="Calibri" w:hAnsi="Cambria" w:cs="Times New Roman"/>
        </w:rPr>
        <w:t>Na smanjenje kratkoročnih obveza najvećim djelom je utjecala  prijevremena otplata kredita.</w:t>
      </w:r>
    </w:p>
    <w:p w14:paraId="03B81D9E" w14:textId="49FB4590" w:rsidR="00DB6824" w:rsidRPr="00A80C5E" w:rsidRDefault="00DB6824" w:rsidP="00DB6824">
      <w:pPr>
        <w:spacing w:after="0" w:line="276" w:lineRule="auto"/>
        <w:contextualSpacing/>
        <w:jc w:val="both"/>
        <w:rPr>
          <w:rFonts w:ascii="Times New Roman" w:eastAsia="Calibri" w:hAnsi="Times New Roman" w:cs="Times New Roman"/>
        </w:rPr>
      </w:pPr>
      <w:r w:rsidRPr="00A80C5E">
        <w:rPr>
          <w:rFonts w:ascii="Times New Roman" w:eastAsia="Calibri" w:hAnsi="Times New Roman" w:cs="Times New Roman"/>
        </w:rPr>
        <w:t>Najznačajnija pozicija unutar istih jesu obveze prema dobavljačima (78.7</w:t>
      </w:r>
      <w:r w:rsidR="00E5110D" w:rsidRPr="00A80C5E">
        <w:rPr>
          <w:rFonts w:ascii="Times New Roman" w:eastAsia="Calibri" w:hAnsi="Times New Roman" w:cs="Times New Roman"/>
        </w:rPr>
        <w:t>19,70</w:t>
      </w:r>
      <w:r w:rsidRPr="00A80C5E">
        <w:rPr>
          <w:rFonts w:ascii="Times New Roman" w:eastAsia="Calibri" w:hAnsi="Times New Roman" w:cs="Times New Roman"/>
        </w:rPr>
        <w:t xml:space="preserve"> EUR), zatim slijede obveze za poreze, doprinose i druga javna davanja (80.15</w:t>
      </w:r>
      <w:r w:rsidR="00E5110D" w:rsidRPr="00A80C5E">
        <w:rPr>
          <w:rFonts w:ascii="Times New Roman" w:eastAsia="Calibri" w:hAnsi="Times New Roman" w:cs="Times New Roman"/>
        </w:rPr>
        <w:t>2,66</w:t>
      </w:r>
      <w:r w:rsidRPr="00A80C5E">
        <w:rPr>
          <w:rFonts w:ascii="Times New Roman" w:eastAsia="Calibri" w:hAnsi="Times New Roman" w:cs="Times New Roman"/>
        </w:rPr>
        <w:t xml:space="preserve"> EUR), obveze prema radnicima (41.824</w:t>
      </w:r>
      <w:r w:rsidR="00E5110D" w:rsidRPr="00A80C5E">
        <w:rPr>
          <w:rFonts w:ascii="Times New Roman" w:eastAsia="Calibri" w:hAnsi="Times New Roman" w:cs="Times New Roman"/>
        </w:rPr>
        <w:t>,22</w:t>
      </w:r>
      <w:r w:rsidRPr="00A80C5E">
        <w:rPr>
          <w:rFonts w:ascii="Times New Roman" w:eastAsia="Calibri" w:hAnsi="Times New Roman" w:cs="Times New Roman"/>
        </w:rPr>
        <w:t xml:space="preserve"> EUR),  obveze za predujmove (284</w:t>
      </w:r>
      <w:r w:rsidR="00E5110D" w:rsidRPr="00A80C5E">
        <w:rPr>
          <w:rFonts w:ascii="Times New Roman" w:eastAsia="Calibri" w:hAnsi="Times New Roman" w:cs="Times New Roman"/>
        </w:rPr>
        <w:t>,26</w:t>
      </w:r>
      <w:r w:rsidRPr="00A80C5E">
        <w:rPr>
          <w:rFonts w:ascii="Times New Roman" w:eastAsia="Calibri" w:hAnsi="Times New Roman" w:cs="Times New Roman"/>
        </w:rPr>
        <w:t xml:space="preserve"> EUR), te ostale kratkoročne obveze (30.496</w:t>
      </w:r>
      <w:r w:rsidR="00E5110D" w:rsidRPr="00A80C5E">
        <w:rPr>
          <w:rFonts w:ascii="Times New Roman" w:eastAsia="Calibri" w:hAnsi="Times New Roman" w:cs="Times New Roman"/>
        </w:rPr>
        <w:t>,18</w:t>
      </w:r>
      <w:r w:rsidRPr="00A80C5E">
        <w:rPr>
          <w:rFonts w:ascii="Times New Roman" w:eastAsia="Calibri" w:hAnsi="Times New Roman" w:cs="Times New Roman"/>
        </w:rPr>
        <w:t xml:space="preserve"> EUR).</w:t>
      </w:r>
    </w:p>
    <w:p w14:paraId="4954D665" w14:textId="77777777" w:rsidR="00DB6824" w:rsidRPr="00A80C5E" w:rsidRDefault="00DB6824" w:rsidP="00DB6824">
      <w:pPr>
        <w:spacing w:after="0" w:line="276" w:lineRule="auto"/>
        <w:contextualSpacing/>
        <w:jc w:val="both"/>
        <w:rPr>
          <w:rFonts w:ascii="Times New Roman" w:eastAsia="Calibri" w:hAnsi="Times New Roman" w:cs="Times New Roman"/>
        </w:rPr>
      </w:pPr>
    </w:p>
    <w:p w14:paraId="56B1A9AC" w14:textId="6049B0B5" w:rsidR="00DB6824" w:rsidRPr="00A80C5E" w:rsidRDefault="00DB6824" w:rsidP="00DB6824">
      <w:pPr>
        <w:spacing w:after="0" w:line="276" w:lineRule="auto"/>
        <w:contextualSpacing/>
        <w:jc w:val="both"/>
        <w:rPr>
          <w:rFonts w:ascii="Times New Roman" w:eastAsia="Calibri" w:hAnsi="Times New Roman" w:cs="Times New Roman"/>
        </w:rPr>
      </w:pPr>
      <w:r w:rsidRPr="00A80C5E">
        <w:rPr>
          <w:rFonts w:ascii="Times New Roman" w:eastAsia="Calibri" w:hAnsi="Times New Roman" w:cs="Times New Roman"/>
        </w:rPr>
        <w:t>Obveze prema dobavljačima evidentirane su u iznosu od 78.7</w:t>
      </w:r>
      <w:r w:rsidR="00E5110D" w:rsidRPr="00A80C5E">
        <w:rPr>
          <w:rFonts w:ascii="Times New Roman" w:eastAsia="Calibri" w:hAnsi="Times New Roman" w:cs="Times New Roman"/>
        </w:rPr>
        <w:t>19,70</w:t>
      </w:r>
      <w:r w:rsidRPr="00A80C5E">
        <w:rPr>
          <w:rFonts w:ascii="Times New Roman" w:eastAsia="Calibri" w:hAnsi="Times New Roman" w:cs="Times New Roman"/>
        </w:rPr>
        <w:t xml:space="preserve"> EUR, što je za 17% manje u odnosu na početno stanje. Dospjele obveze iznose  1.805</w:t>
      </w:r>
      <w:r w:rsidR="00945FE7">
        <w:rPr>
          <w:rFonts w:ascii="Times New Roman" w:eastAsia="Calibri" w:hAnsi="Times New Roman" w:cs="Times New Roman"/>
        </w:rPr>
        <w:t>,00</w:t>
      </w:r>
      <w:r w:rsidRPr="00A80C5E">
        <w:rPr>
          <w:rFonts w:ascii="Times New Roman" w:eastAsia="Calibri" w:hAnsi="Times New Roman" w:cs="Times New Roman"/>
        </w:rPr>
        <w:t xml:space="preserve"> EUR, a  nedospjele 76.91</w:t>
      </w:r>
      <w:r w:rsidR="00E5110D" w:rsidRPr="00A80C5E">
        <w:rPr>
          <w:rFonts w:ascii="Times New Roman" w:eastAsia="Calibri" w:hAnsi="Times New Roman" w:cs="Times New Roman"/>
        </w:rPr>
        <w:t>4,70</w:t>
      </w:r>
      <w:r w:rsidRPr="00A80C5E">
        <w:rPr>
          <w:rFonts w:ascii="Times New Roman" w:eastAsia="Calibri" w:hAnsi="Times New Roman" w:cs="Times New Roman"/>
        </w:rPr>
        <w:t xml:space="preserve"> EUR. </w:t>
      </w:r>
    </w:p>
    <w:p w14:paraId="78C7022C" w14:textId="77777777" w:rsidR="00DB6824" w:rsidRPr="00A80C5E" w:rsidRDefault="00DB6824" w:rsidP="00DB6824">
      <w:pPr>
        <w:spacing w:after="0" w:line="276" w:lineRule="auto"/>
        <w:contextualSpacing/>
        <w:jc w:val="both"/>
        <w:rPr>
          <w:rFonts w:ascii="Times New Roman" w:eastAsia="Calibri" w:hAnsi="Times New Roman" w:cs="Times New Roman"/>
        </w:rPr>
      </w:pPr>
    </w:p>
    <w:p w14:paraId="05AB5842" w14:textId="77777777" w:rsidR="00DB6824" w:rsidRPr="00A80C5E" w:rsidRDefault="00DB6824" w:rsidP="00DB6824">
      <w:pPr>
        <w:spacing w:after="0" w:line="276" w:lineRule="auto"/>
        <w:contextualSpacing/>
        <w:jc w:val="center"/>
        <w:rPr>
          <w:rFonts w:ascii="Times New Roman" w:eastAsia="Calibri" w:hAnsi="Times New Roman" w:cs="Times New Roman"/>
          <w:bCs/>
          <w:i/>
        </w:rPr>
      </w:pPr>
      <w:r w:rsidRPr="00A80C5E">
        <w:rPr>
          <w:rFonts w:ascii="Times New Roman" w:eastAsia="Calibri" w:hAnsi="Times New Roman" w:cs="Times New Roman"/>
          <w:bCs/>
          <w:i/>
        </w:rPr>
        <w:t>Struktura obveza prema dobavljačima na 31.12.2024. godine</w:t>
      </w:r>
    </w:p>
    <w:p w14:paraId="1965A2A3" w14:textId="77777777" w:rsidR="00DB6824" w:rsidRPr="00DB6824" w:rsidRDefault="00DB6824" w:rsidP="00DB6824">
      <w:pPr>
        <w:spacing w:after="0" w:line="276" w:lineRule="auto"/>
        <w:contextualSpacing/>
        <w:jc w:val="center"/>
        <w:rPr>
          <w:rFonts w:ascii="Cambria" w:eastAsia="Calibri" w:hAnsi="Cambria" w:cs="Times New Roman"/>
          <w:bCs/>
          <w:i/>
        </w:rPr>
      </w:pPr>
    </w:p>
    <w:tbl>
      <w:tblPr>
        <w:tblW w:w="0" w:type="auto"/>
        <w:jc w:val="center"/>
        <w:tblBorders>
          <w:insideH w:val="single" w:sz="18" w:space="0" w:color="FFFFFF"/>
          <w:insideV w:val="single" w:sz="18" w:space="0" w:color="FFFFFF"/>
        </w:tblBorders>
        <w:shd w:val="clear" w:color="auto" w:fill="F2F2F2"/>
        <w:tblLook w:val="04A0" w:firstRow="1" w:lastRow="0" w:firstColumn="1" w:lastColumn="0" w:noHBand="0" w:noVBand="1"/>
      </w:tblPr>
      <w:tblGrid>
        <w:gridCol w:w="2819"/>
        <w:gridCol w:w="2261"/>
        <w:gridCol w:w="1230"/>
        <w:gridCol w:w="1889"/>
      </w:tblGrid>
      <w:tr w:rsidR="00DB6824" w:rsidRPr="00DB6824" w14:paraId="3F1C4556" w14:textId="77777777" w:rsidTr="008364D3">
        <w:trPr>
          <w:trHeight w:val="283"/>
          <w:jc w:val="center"/>
        </w:trPr>
        <w:tc>
          <w:tcPr>
            <w:tcW w:w="2819" w:type="dxa"/>
            <w:shd w:val="clear" w:color="auto" w:fill="F2F2F2"/>
            <w:vAlign w:val="center"/>
          </w:tcPr>
          <w:p w14:paraId="6B1D05B4" w14:textId="77777777" w:rsidR="00DB6824" w:rsidRPr="00A80C5E" w:rsidRDefault="00DB6824" w:rsidP="00DB6824">
            <w:pPr>
              <w:spacing w:after="0" w:line="276" w:lineRule="auto"/>
              <w:contextualSpacing/>
              <w:jc w:val="center"/>
              <w:rPr>
                <w:rFonts w:ascii="Times New Roman" w:eastAsia="Calibri" w:hAnsi="Times New Roman" w:cs="Times New Roman"/>
                <w:b/>
                <w:bCs/>
                <w:sz w:val="18"/>
                <w:szCs w:val="20"/>
              </w:rPr>
            </w:pPr>
            <w:r w:rsidRPr="00A80C5E">
              <w:rPr>
                <w:rFonts w:ascii="Times New Roman" w:eastAsia="Calibri" w:hAnsi="Times New Roman" w:cs="Times New Roman"/>
                <w:b/>
                <w:bCs/>
                <w:sz w:val="18"/>
                <w:szCs w:val="20"/>
              </w:rPr>
              <w:t>Naziv dobavljača</w:t>
            </w:r>
          </w:p>
        </w:tc>
        <w:tc>
          <w:tcPr>
            <w:tcW w:w="2261" w:type="dxa"/>
            <w:shd w:val="clear" w:color="auto" w:fill="F2F2F2"/>
            <w:vAlign w:val="center"/>
          </w:tcPr>
          <w:p w14:paraId="5370B6F6" w14:textId="77777777" w:rsidR="00DB6824" w:rsidRPr="00A80C5E" w:rsidRDefault="00DB6824" w:rsidP="00DB6824">
            <w:pPr>
              <w:spacing w:after="0" w:line="276" w:lineRule="auto"/>
              <w:contextualSpacing/>
              <w:jc w:val="center"/>
              <w:rPr>
                <w:rFonts w:ascii="Times New Roman" w:eastAsia="Calibri" w:hAnsi="Times New Roman" w:cs="Times New Roman"/>
                <w:b/>
                <w:bCs/>
                <w:sz w:val="18"/>
                <w:szCs w:val="20"/>
              </w:rPr>
            </w:pPr>
            <w:r w:rsidRPr="00A80C5E">
              <w:rPr>
                <w:rFonts w:ascii="Times New Roman" w:eastAsia="Calibri" w:hAnsi="Times New Roman" w:cs="Times New Roman"/>
                <w:b/>
                <w:bCs/>
                <w:sz w:val="18"/>
                <w:szCs w:val="20"/>
              </w:rPr>
              <w:t>Promet</w:t>
            </w:r>
          </w:p>
        </w:tc>
        <w:tc>
          <w:tcPr>
            <w:tcW w:w="1230" w:type="dxa"/>
            <w:shd w:val="clear" w:color="auto" w:fill="F2F2F2"/>
            <w:vAlign w:val="center"/>
          </w:tcPr>
          <w:p w14:paraId="2627DCDA" w14:textId="77777777" w:rsidR="00DB6824" w:rsidRPr="00A80C5E" w:rsidRDefault="00DB6824" w:rsidP="00DB6824">
            <w:pPr>
              <w:spacing w:after="0" w:line="276" w:lineRule="auto"/>
              <w:contextualSpacing/>
              <w:jc w:val="center"/>
              <w:rPr>
                <w:rFonts w:ascii="Times New Roman" w:eastAsia="Calibri" w:hAnsi="Times New Roman" w:cs="Times New Roman"/>
                <w:b/>
                <w:bCs/>
                <w:sz w:val="18"/>
                <w:szCs w:val="20"/>
              </w:rPr>
            </w:pPr>
            <w:r w:rsidRPr="00A80C5E">
              <w:rPr>
                <w:rFonts w:ascii="Times New Roman" w:eastAsia="Calibri" w:hAnsi="Times New Roman" w:cs="Times New Roman"/>
                <w:b/>
                <w:bCs/>
                <w:sz w:val="18"/>
                <w:szCs w:val="20"/>
              </w:rPr>
              <w:t>Podmireno</w:t>
            </w:r>
          </w:p>
        </w:tc>
        <w:tc>
          <w:tcPr>
            <w:tcW w:w="1889" w:type="dxa"/>
            <w:shd w:val="clear" w:color="auto" w:fill="F2F2F2"/>
          </w:tcPr>
          <w:p w14:paraId="625056BC" w14:textId="77777777" w:rsidR="00DB6824" w:rsidRPr="00A80C5E" w:rsidRDefault="00DB6824" w:rsidP="00DB6824">
            <w:pPr>
              <w:spacing w:after="0" w:line="276" w:lineRule="auto"/>
              <w:contextualSpacing/>
              <w:jc w:val="center"/>
              <w:rPr>
                <w:rFonts w:ascii="Times New Roman" w:eastAsia="Calibri" w:hAnsi="Times New Roman" w:cs="Times New Roman"/>
                <w:b/>
                <w:bCs/>
                <w:sz w:val="18"/>
                <w:szCs w:val="20"/>
              </w:rPr>
            </w:pPr>
            <w:r w:rsidRPr="00A80C5E">
              <w:rPr>
                <w:rFonts w:ascii="Times New Roman" w:eastAsia="Calibri" w:hAnsi="Times New Roman" w:cs="Times New Roman"/>
                <w:b/>
                <w:bCs/>
                <w:sz w:val="18"/>
                <w:szCs w:val="20"/>
              </w:rPr>
              <w:t>Stanje obveze na 31.12.2024.</w:t>
            </w:r>
          </w:p>
        </w:tc>
      </w:tr>
      <w:tr w:rsidR="00DB6824" w:rsidRPr="00DB6824" w14:paraId="45BEEBE9" w14:textId="77777777" w:rsidTr="008364D3">
        <w:trPr>
          <w:trHeight w:val="329"/>
          <w:jc w:val="center"/>
        </w:trPr>
        <w:tc>
          <w:tcPr>
            <w:tcW w:w="2819" w:type="dxa"/>
            <w:tcBorders>
              <w:top w:val="single" w:sz="18" w:space="0" w:color="FFFFFF"/>
              <w:left w:val="nil"/>
              <w:bottom w:val="nil"/>
              <w:right w:val="single" w:sz="18" w:space="0" w:color="FFFFFF"/>
            </w:tcBorders>
            <w:shd w:val="clear" w:color="auto" w:fill="auto"/>
          </w:tcPr>
          <w:p w14:paraId="3A9CC251"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Novi List d.d.</w:t>
            </w:r>
          </w:p>
        </w:tc>
        <w:tc>
          <w:tcPr>
            <w:tcW w:w="2261" w:type="dxa"/>
            <w:tcBorders>
              <w:top w:val="single" w:sz="18" w:space="0" w:color="FFFFFF"/>
              <w:left w:val="single" w:sz="18" w:space="0" w:color="FFFFFF"/>
              <w:bottom w:val="nil"/>
              <w:right w:val="single" w:sz="18" w:space="0" w:color="FFFFFF"/>
            </w:tcBorders>
            <w:shd w:val="clear" w:color="auto" w:fill="auto"/>
          </w:tcPr>
          <w:p w14:paraId="2AD7819B" w14:textId="254006ED"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67.333</w:t>
            </w:r>
            <w:r w:rsidR="00E5110D" w:rsidRPr="00A80C5E">
              <w:rPr>
                <w:rFonts w:ascii="Times New Roman" w:eastAsia="Calibri" w:hAnsi="Times New Roman" w:cs="Times New Roman"/>
                <w:sz w:val="18"/>
                <w:szCs w:val="20"/>
              </w:rPr>
              <w:t>,00</w:t>
            </w:r>
          </w:p>
        </w:tc>
        <w:tc>
          <w:tcPr>
            <w:tcW w:w="1230" w:type="dxa"/>
            <w:tcBorders>
              <w:top w:val="single" w:sz="18" w:space="0" w:color="FFFFFF"/>
              <w:left w:val="single" w:sz="18" w:space="0" w:color="FFFFFF"/>
              <w:bottom w:val="nil"/>
              <w:right w:val="single" w:sz="18" w:space="0" w:color="FFFFFF"/>
            </w:tcBorders>
            <w:shd w:val="clear" w:color="auto" w:fill="auto"/>
          </w:tcPr>
          <w:p w14:paraId="2893EB88" w14:textId="072A0C14"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64.232</w:t>
            </w:r>
            <w:r w:rsidR="00E5110D" w:rsidRPr="00A80C5E">
              <w:rPr>
                <w:rFonts w:ascii="Times New Roman" w:eastAsia="Calibri" w:hAnsi="Times New Roman" w:cs="Times New Roman"/>
                <w:sz w:val="18"/>
                <w:szCs w:val="20"/>
              </w:rPr>
              <w:t>,00</w:t>
            </w:r>
          </w:p>
        </w:tc>
        <w:tc>
          <w:tcPr>
            <w:tcW w:w="1889" w:type="dxa"/>
            <w:tcBorders>
              <w:top w:val="single" w:sz="18" w:space="0" w:color="FFFFFF"/>
              <w:left w:val="single" w:sz="18" w:space="0" w:color="FFFFFF"/>
              <w:bottom w:val="nil"/>
              <w:right w:val="nil"/>
            </w:tcBorders>
            <w:shd w:val="clear" w:color="auto" w:fill="auto"/>
          </w:tcPr>
          <w:p w14:paraId="4DBF7A2D" w14:textId="731E0034"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3.101</w:t>
            </w:r>
            <w:r w:rsidR="00E5110D" w:rsidRPr="00A80C5E">
              <w:rPr>
                <w:rFonts w:ascii="Times New Roman" w:eastAsia="Calibri" w:hAnsi="Times New Roman" w:cs="Times New Roman"/>
                <w:sz w:val="18"/>
                <w:szCs w:val="20"/>
              </w:rPr>
              <w:t>,00</w:t>
            </w:r>
          </w:p>
        </w:tc>
      </w:tr>
      <w:tr w:rsidR="00DB6824" w:rsidRPr="00DB6824" w14:paraId="00E60672" w14:textId="77777777" w:rsidTr="008364D3">
        <w:trPr>
          <w:trHeight w:val="283"/>
          <w:jc w:val="center"/>
        </w:trPr>
        <w:tc>
          <w:tcPr>
            <w:tcW w:w="2819" w:type="dxa"/>
            <w:tcBorders>
              <w:top w:val="nil"/>
              <w:left w:val="nil"/>
              <w:bottom w:val="nil"/>
              <w:right w:val="single" w:sz="18" w:space="0" w:color="FFFFFF"/>
            </w:tcBorders>
            <w:shd w:val="clear" w:color="auto" w:fill="F2F2F2"/>
          </w:tcPr>
          <w:p w14:paraId="486D2222"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EDRA d.o.o. Buzet</w:t>
            </w:r>
          </w:p>
        </w:tc>
        <w:tc>
          <w:tcPr>
            <w:tcW w:w="2261" w:type="dxa"/>
            <w:tcBorders>
              <w:top w:val="nil"/>
              <w:left w:val="single" w:sz="18" w:space="0" w:color="FFFFFF"/>
              <w:bottom w:val="nil"/>
              <w:right w:val="single" w:sz="18" w:space="0" w:color="FFFFFF"/>
            </w:tcBorders>
            <w:shd w:val="clear" w:color="auto" w:fill="F2F2F2"/>
          </w:tcPr>
          <w:p w14:paraId="1DC3600D" w14:textId="39D87CF7"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64.311</w:t>
            </w:r>
            <w:r w:rsidR="00E5110D" w:rsidRPr="00A80C5E">
              <w:rPr>
                <w:rFonts w:ascii="Times New Roman" w:eastAsia="Calibri" w:hAnsi="Times New Roman" w:cs="Times New Roman"/>
                <w:sz w:val="18"/>
                <w:szCs w:val="20"/>
              </w:rPr>
              <w:t>,70</w:t>
            </w:r>
          </w:p>
        </w:tc>
        <w:tc>
          <w:tcPr>
            <w:tcW w:w="1230" w:type="dxa"/>
            <w:tcBorders>
              <w:top w:val="nil"/>
              <w:left w:val="single" w:sz="18" w:space="0" w:color="FFFFFF"/>
              <w:bottom w:val="nil"/>
              <w:right w:val="single" w:sz="18" w:space="0" w:color="FFFFFF"/>
            </w:tcBorders>
            <w:shd w:val="clear" w:color="auto" w:fill="F2F2F2"/>
          </w:tcPr>
          <w:p w14:paraId="6B488333" w14:textId="76F3EF23"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62.216</w:t>
            </w:r>
            <w:r w:rsidR="00E5110D" w:rsidRPr="00A80C5E">
              <w:rPr>
                <w:rFonts w:ascii="Times New Roman" w:eastAsia="Calibri" w:hAnsi="Times New Roman" w:cs="Times New Roman"/>
                <w:sz w:val="18"/>
                <w:szCs w:val="20"/>
              </w:rPr>
              <w:t>,00</w:t>
            </w:r>
          </w:p>
        </w:tc>
        <w:tc>
          <w:tcPr>
            <w:tcW w:w="1889" w:type="dxa"/>
            <w:tcBorders>
              <w:top w:val="nil"/>
              <w:left w:val="single" w:sz="18" w:space="0" w:color="FFFFFF"/>
              <w:bottom w:val="nil"/>
              <w:right w:val="nil"/>
            </w:tcBorders>
            <w:shd w:val="clear" w:color="auto" w:fill="F2F2F2"/>
          </w:tcPr>
          <w:p w14:paraId="57DE295F" w14:textId="413EE766"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2.095</w:t>
            </w:r>
            <w:r w:rsidR="00E5110D" w:rsidRPr="00A80C5E">
              <w:rPr>
                <w:rFonts w:ascii="Times New Roman" w:eastAsia="Calibri" w:hAnsi="Times New Roman" w:cs="Times New Roman"/>
                <w:sz w:val="18"/>
                <w:szCs w:val="20"/>
              </w:rPr>
              <w:t>,70</w:t>
            </w:r>
          </w:p>
        </w:tc>
      </w:tr>
      <w:tr w:rsidR="00DB6824" w:rsidRPr="00DB6824" w14:paraId="425D7BC3" w14:textId="77777777" w:rsidTr="008364D3">
        <w:trPr>
          <w:trHeight w:val="283"/>
          <w:jc w:val="center"/>
        </w:trPr>
        <w:tc>
          <w:tcPr>
            <w:tcW w:w="2819" w:type="dxa"/>
            <w:tcBorders>
              <w:top w:val="nil"/>
              <w:left w:val="nil"/>
              <w:bottom w:val="nil"/>
              <w:right w:val="single" w:sz="18" w:space="0" w:color="FFFFFF"/>
            </w:tcBorders>
            <w:shd w:val="clear" w:color="auto" w:fill="auto"/>
          </w:tcPr>
          <w:p w14:paraId="1391EA3B"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Toma trgovina d.o.o./Palma d.o.o.</w:t>
            </w:r>
          </w:p>
        </w:tc>
        <w:tc>
          <w:tcPr>
            <w:tcW w:w="2261" w:type="dxa"/>
            <w:tcBorders>
              <w:top w:val="nil"/>
              <w:left w:val="single" w:sz="18" w:space="0" w:color="FFFFFF"/>
              <w:bottom w:val="nil"/>
              <w:right w:val="single" w:sz="18" w:space="0" w:color="FFFFFF"/>
            </w:tcBorders>
            <w:shd w:val="clear" w:color="auto" w:fill="auto"/>
          </w:tcPr>
          <w:p w14:paraId="5FD3905B" w14:textId="634C08A1"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160.818</w:t>
            </w:r>
            <w:r w:rsidR="00E5110D" w:rsidRPr="00A80C5E">
              <w:rPr>
                <w:rFonts w:ascii="Times New Roman" w:eastAsia="Calibri" w:hAnsi="Times New Roman" w:cs="Times New Roman"/>
                <w:sz w:val="18"/>
                <w:szCs w:val="20"/>
              </w:rPr>
              <w:t>,00</w:t>
            </w:r>
          </w:p>
        </w:tc>
        <w:tc>
          <w:tcPr>
            <w:tcW w:w="1230" w:type="dxa"/>
            <w:tcBorders>
              <w:top w:val="nil"/>
              <w:left w:val="single" w:sz="18" w:space="0" w:color="FFFFFF"/>
              <w:bottom w:val="nil"/>
              <w:right w:val="single" w:sz="18" w:space="0" w:color="FFFFFF"/>
            </w:tcBorders>
            <w:shd w:val="clear" w:color="auto" w:fill="auto"/>
          </w:tcPr>
          <w:p w14:paraId="5255DDDE" w14:textId="60FAB9C8"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153.052</w:t>
            </w:r>
            <w:r w:rsidR="00E5110D" w:rsidRPr="00A80C5E">
              <w:rPr>
                <w:rFonts w:ascii="Times New Roman" w:eastAsia="Calibri" w:hAnsi="Times New Roman" w:cs="Times New Roman"/>
                <w:sz w:val="18"/>
                <w:szCs w:val="20"/>
              </w:rPr>
              <w:t>,00</w:t>
            </w:r>
          </w:p>
        </w:tc>
        <w:tc>
          <w:tcPr>
            <w:tcW w:w="1889" w:type="dxa"/>
            <w:tcBorders>
              <w:top w:val="nil"/>
              <w:left w:val="single" w:sz="18" w:space="0" w:color="FFFFFF"/>
              <w:bottom w:val="nil"/>
              <w:right w:val="nil"/>
            </w:tcBorders>
            <w:shd w:val="clear" w:color="auto" w:fill="auto"/>
          </w:tcPr>
          <w:p w14:paraId="432D77E6" w14:textId="0F9F3317"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7.766</w:t>
            </w:r>
            <w:r w:rsidR="00E5110D" w:rsidRPr="00A80C5E">
              <w:rPr>
                <w:rFonts w:ascii="Times New Roman" w:eastAsia="Calibri" w:hAnsi="Times New Roman" w:cs="Times New Roman"/>
                <w:sz w:val="18"/>
                <w:szCs w:val="20"/>
              </w:rPr>
              <w:t>,00</w:t>
            </w:r>
          </w:p>
        </w:tc>
      </w:tr>
      <w:tr w:rsidR="00DB6824" w:rsidRPr="00DB6824" w14:paraId="4A091547" w14:textId="77777777" w:rsidTr="008364D3">
        <w:trPr>
          <w:trHeight w:val="283"/>
          <w:jc w:val="center"/>
        </w:trPr>
        <w:tc>
          <w:tcPr>
            <w:tcW w:w="2819" w:type="dxa"/>
            <w:tcBorders>
              <w:top w:val="nil"/>
              <w:left w:val="nil"/>
              <w:bottom w:val="nil"/>
              <w:right w:val="single" w:sz="18" w:space="0" w:color="FFFFFF"/>
            </w:tcBorders>
            <w:shd w:val="clear" w:color="auto" w:fill="auto"/>
          </w:tcPr>
          <w:p w14:paraId="1761AD14"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NET d.o.o.</w:t>
            </w:r>
          </w:p>
        </w:tc>
        <w:tc>
          <w:tcPr>
            <w:tcW w:w="2261" w:type="dxa"/>
            <w:tcBorders>
              <w:top w:val="nil"/>
              <w:left w:val="single" w:sz="18" w:space="0" w:color="FFFFFF"/>
              <w:bottom w:val="nil"/>
              <w:right w:val="single" w:sz="18" w:space="0" w:color="FFFFFF"/>
            </w:tcBorders>
            <w:shd w:val="clear" w:color="auto" w:fill="auto"/>
          </w:tcPr>
          <w:p w14:paraId="19398573" w14:textId="0DB62745"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127.800</w:t>
            </w:r>
            <w:r w:rsidR="00E5110D" w:rsidRPr="00A80C5E">
              <w:rPr>
                <w:rFonts w:ascii="Times New Roman" w:eastAsia="Calibri" w:hAnsi="Times New Roman" w:cs="Times New Roman"/>
                <w:sz w:val="18"/>
                <w:szCs w:val="20"/>
              </w:rPr>
              <w:t>,00</w:t>
            </w:r>
          </w:p>
        </w:tc>
        <w:tc>
          <w:tcPr>
            <w:tcW w:w="1230" w:type="dxa"/>
            <w:tcBorders>
              <w:top w:val="nil"/>
              <w:left w:val="single" w:sz="18" w:space="0" w:color="FFFFFF"/>
              <w:bottom w:val="nil"/>
              <w:right w:val="single" w:sz="18" w:space="0" w:color="FFFFFF"/>
            </w:tcBorders>
            <w:shd w:val="clear" w:color="auto" w:fill="auto"/>
          </w:tcPr>
          <w:p w14:paraId="4EC1548F" w14:textId="7D12F9E8"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119.511</w:t>
            </w:r>
            <w:r w:rsidR="00E5110D" w:rsidRPr="00A80C5E">
              <w:rPr>
                <w:rFonts w:ascii="Times New Roman" w:eastAsia="Calibri" w:hAnsi="Times New Roman" w:cs="Times New Roman"/>
                <w:sz w:val="18"/>
                <w:szCs w:val="20"/>
              </w:rPr>
              <w:t>,00</w:t>
            </w:r>
          </w:p>
        </w:tc>
        <w:tc>
          <w:tcPr>
            <w:tcW w:w="1889" w:type="dxa"/>
            <w:tcBorders>
              <w:top w:val="nil"/>
              <w:left w:val="single" w:sz="18" w:space="0" w:color="FFFFFF"/>
              <w:bottom w:val="nil"/>
              <w:right w:val="nil"/>
            </w:tcBorders>
            <w:shd w:val="clear" w:color="auto" w:fill="auto"/>
          </w:tcPr>
          <w:p w14:paraId="69D5CC3C" w14:textId="6977B0A6"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8.289</w:t>
            </w:r>
            <w:r w:rsidR="00E5110D" w:rsidRPr="00A80C5E">
              <w:rPr>
                <w:rFonts w:ascii="Times New Roman" w:eastAsia="Calibri" w:hAnsi="Times New Roman" w:cs="Times New Roman"/>
                <w:sz w:val="18"/>
                <w:szCs w:val="20"/>
              </w:rPr>
              <w:t>,00</w:t>
            </w:r>
          </w:p>
        </w:tc>
      </w:tr>
      <w:tr w:rsidR="00DB6824" w:rsidRPr="00DB6824" w14:paraId="71B96FC5" w14:textId="77777777" w:rsidTr="008364D3">
        <w:trPr>
          <w:trHeight w:val="283"/>
          <w:jc w:val="center"/>
        </w:trPr>
        <w:tc>
          <w:tcPr>
            <w:tcW w:w="2819" w:type="dxa"/>
            <w:tcBorders>
              <w:top w:val="nil"/>
              <w:left w:val="nil"/>
              <w:bottom w:val="nil"/>
              <w:right w:val="single" w:sz="18" w:space="0" w:color="FFFFFF"/>
            </w:tcBorders>
            <w:shd w:val="clear" w:color="auto" w:fill="auto"/>
          </w:tcPr>
          <w:p w14:paraId="59822BD1"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VITA FLOS d.o.o.</w:t>
            </w:r>
          </w:p>
        </w:tc>
        <w:tc>
          <w:tcPr>
            <w:tcW w:w="2261" w:type="dxa"/>
            <w:tcBorders>
              <w:top w:val="nil"/>
              <w:left w:val="single" w:sz="18" w:space="0" w:color="FFFFFF"/>
              <w:bottom w:val="nil"/>
              <w:right w:val="single" w:sz="18" w:space="0" w:color="FFFFFF"/>
            </w:tcBorders>
            <w:shd w:val="clear" w:color="auto" w:fill="auto"/>
          </w:tcPr>
          <w:p w14:paraId="71D7E7C2" w14:textId="200D2DFA"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270.359</w:t>
            </w:r>
            <w:r w:rsidR="00E5110D" w:rsidRPr="00A80C5E">
              <w:rPr>
                <w:rFonts w:ascii="Times New Roman" w:eastAsia="Calibri" w:hAnsi="Times New Roman" w:cs="Times New Roman"/>
                <w:sz w:val="18"/>
                <w:szCs w:val="20"/>
              </w:rPr>
              <w:t>,00</w:t>
            </w:r>
          </w:p>
        </w:tc>
        <w:tc>
          <w:tcPr>
            <w:tcW w:w="1230" w:type="dxa"/>
            <w:tcBorders>
              <w:top w:val="nil"/>
              <w:left w:val="single" w:sz="18" w:space="0" w:color="FFFFFF"/>
              <w:bottom w:val="nil"/>
              <w:right w:val="single" w:sz="18" w:space="0" w:color="FFFFFF"/>
            </w:tcBorders>
            <w:shd w:val="clear" w:color="auto" w:fill="auto"/>
          </w:tcPr>
          <w:p w14:paraId="02E300D4" w14:textId="5C0A3523"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251.422</w:t>
            </w:r>
            <w:r w:rsidR="00E5110D" w:rsidRPr="00A80C5E">
              <w:rPr>
                <w:rFonts w:ascii="Times New Roman" w:eastAsia="Calibri" w:hAnsi="Times New Roman" w:cs="Times New Roman"/>
                <w:sz w:val="18"/>
                <w:szCs w:val="20"/>
              </w:rPr>
              <w:t>,00</w:t>
            </w:r>
          </w:p>
        </w:tc>
        <w:tc>
          <w:tcPr>
            <w:tcW w:w="1889" w:type="dxa"/>
            <w:tcBorders>
              <w:top w:val="nil"/>
              <w:left w:val="single" w:sz="18" w:space="0" w:color="FFFFFF"/>
              <w:bottom w:val="nil"/>
              <w:right w:val="nil"/>
            </w:tcBorders>
            <w:shd w:val="clear" w:color="auto" w:fill="auto"/>
          </w:tcPr>
          <w:p w14:paraId="59A38886" w14:textId="2FC0D275"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18.937</w:t>
            </w:r>
            <w:r w:rsidR="00E5110D" w:rsidRPr="00A80C5E">
              <w:rPr>
                <w:rFonts w:ascii="Times New Roman" w:eastAsia="Calibri" w:hAnsi="Times New Roman" w:cs="Times New Roman"/>
                <w:sz w:val="18"/>
                <w:szCs w:val="20"/>
              </w:rPr>
              <w:t>,00</w:t>
            </w:r>
          </w:p>
        </w:tc>
      </w:tr>
      <w:tr w:rsidR="00DB6824" w:rsidRPr="00DB6824" w14:paraId="0B401E56" w14:textId="77777777" w:rsidTr="008364D3">
        <w:trPr>
          <w:trHeight w:val="283"/>
          <w:jc w:val="center"/>
        </w:trPr>
        <w:tc>
          <w:tcPr>
            <w:tcW w:w="2819" w:type="dxa"/>
            <w:tcBorders>
              <w:top w:val="nil"/>
              <w:left w:val="nil"/>
              <w:bottom w:val="nil"/>
              <w:right w:val="single" w:sz="18" w:space="0" w:color="FFFFFF"/>
            </w:tcBorders>
            <w:shd w:val="clear" w:color="auto" w:fill="auto"/>
          </w:tcPr>
          <w:p w14:paraId="7201C968"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Zagrebački holding d.o.o.</w:t>
            </w:r>
          </w:p>
        </w:tc>
        <w:tc>
          <w:tcPr>
            <w:tcW w:w="2261" w:type="dxa"/>
            <w:tcBorders>
              <w:top w:val="nil"/>
              <w:left w:val="single" w:sz="18" w:space="0" w:color="FFFFFF"/>
              <w:bottom w:val="nil"/>
              <w:right w:val="single" w:sz="18" w:space="0" w:color="FFFFFF"/>
            </w:tcBorders>
            <w:shd w:val="clear" w:color="auto" w:fill="auto"/>
          </w:tcPr>
          <w:p w14:paraId="499889E6" w14:textId="34A9943B"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35.263</w:t>
            </w:r>
            <w:r w:rsidR="00E5110D" w:rsidRPr="00A80C5E">
              <w:rPr>
                <w:rFonts w:ascii="Times New Roman" w:eastAsia="Calibri" w:hAnsi="Times New Roman" w:cs="Times New Roman"/>
                <w:sz w:val="18"/>
                <w:szCs w:val="20"/>
              </w:rPr>
              <w:t>,00</w:t>
            </w:r>
          </w:p>
        </w:tc>
        <w:tc>
          <w:tcPr>
            <w:tcW w:w="1230" w:type="dxa"/>
            <w:tcBorders>
              <w:top w:val="nil"/>
              <w:left w:val="single" w:sz="18" w:space="0" w:color="FFFFFF"/>
              <w:bottom w:val="nil"/>
              <w:right w:val="single" w:sz="18" w:space="0" w:color="FFFFFF"/>
            </w:tcBorders>
            <w:shd w:val="clear" w:color="auto" w:fill="auto"/>
          </w:tcPr>
          <w:p w14:paraId="7BEF24C7" w14:textId="79DF1D71" w:rsidR="00DB6824" w:rsidRPr="00A80C5E" w:rsidRDefault="00DB6824" w:rsidP="00E5110D">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35.06</w:t>
            </w:r>
            <w:r w:rsidR="00E5110D" w:rsidRPr="00A80C5E">
              <w:rPr>
                <w:rFonts w:ascii="Times New Roman" w:eastAsia="Calibri" w:hAnsi="Times New Roman" w:cs="Times New Roman"/>
                <w:sz w:val="18"/>
                <w:szCs w:val="20"/>
              </w:rPr>
              <w:t>,00</w:t>
            </w:r>
          </w:p>
        </w:tc>
        <w:tc>
          <w:tcPr>
            <w:tcW w:w="1889" w:type="dxa"/>
            <w:tcBorders>
              <w:top w:val="nil"/>
              <w:left w:val="single" w:sz="18" w:space="0" w:color="FFFFFF"/>
              <w:bottom w:val="nil"/>
              <w:right w:val="nil"/>
            </w:tcBorders>
            <w:shd w:val="clear" w:color="auto" w:fill="auto"/>
          </w:tcPr>
          <w:p w14:paraId="2062D989" w14:textId="1356998A"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201</w:t>
            </w:r>
            <w:r w:rsidR="00E5110D" w:rsidRPr="00A80C5E">
              <w:rPr>
                <w:rFonts w:ascii="Times New Roman" w:eastAsia="Calibri" w:hAnsi="Times New Roman" w:cs="Times New Roman"/>
                <w:sz w:val="18"/>
                <w:szCs w:val="20"/>
              </w:rPr>
              <w:t>,00</w:t>
            </w:r>
          </w:p>
        </w:tc>
      </w:tr>
      <w:tr w:rsidR="00DB6824" w:rsidRPr="00DB6824" w14:paraId="088465BE" w14:textId="77777777" w:rsidTr="008364D3">
        <w:trPr>
          <w:trHeight w:val="283"/>
          <w:jc w:val="center"/>
        </w:trPr>
        <w:tc>
          <w:tcPr>
            <w:tcW w:w="2819" w:type="dxa"/>
            <w:tcBorders>
              <w:top w:val="nil"/>
              <w:left w:val="nil"/>
              <w:bottom w:val="nil"/>
              <w:right w:val="single" w:sz="18" w:space="0" w:color="FFFFFF"/>
            </w:tcBorders>
            <w:shd w:val="clear" w:color="auto" w:fill="auto"/>
          </w:tcPr>
          <w:p w14:paraId="35D87A3F"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REPRO d.o.o.</w:t>
            </w:r>
          </w:p>
        </w:tc>
        <w:tc>
          <w:tcPr>
            <w:tcW w:w="2261" w:type="dxa"/>
            <w:tcBorders>
              <w:top w:val="nil"/>
              <w:left w:val="single" w:sz="18" w:space="0" w:color="FFFFFF"/>
              <w:bottom w:val="nil"/>
              <w:right w:val="single" w:sz="18" w:space="0" w:color="FFFFFF"/>
            </w:tcBorders>
            <w:shd w:val="clear" w:color="auto" w:fill="auto"/>
          </w:tcPr>
          <w:p w14:paraId="4CD694C8" w14:textId="68A86F0D"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34.934</w:t>
            </w:r>
            <w:r w:rsidR="00E5110D" w:rsidRPr="00A80C5E">
              <w:rPr>
                <w:rFonts w:ascii="Times New Roman" w:eastAsia="Calibri" w:hAnsi="Times New Roman" w:cs="Times New Roman"/>
                <w:sz w:val="18"/>
                <w:szCs w:val="20"/>
              </w:rPr>
              <w:t>,00</w:t>
            </w:r>
          </w:p>
        </w:tc>
        <w:tc>
          <w:tcPr>
            <w:tcW w:w="1230" w:type="dxa"/>
            <w:tcBorders>
              <w:top w:val="nil"/>
              <w:left w:val="single" w:sz="18" w:space="0" w:color="FFFFFF"/>
              <w:bottom w:val="nil"/>
              <w:right w:val="single" w:sz="18" w:space="0" w:color="FFFFFF"/>
            </w:tcBorders>
            <w:shd w:val="clear" w:color="auto" w:fill="auto"/>
          </w:tcPr>
          <w:p w14:paraId="5F16AAF3" w14:textId="7229A5CE" w:rsidR="00DB6824" w:rsidRPr="00A80C5E" w:rsidRDefault="00DB6824" w:rsidP="00E5110D">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31.73</w:t>
            </w:r>
            <w:r w:rsidR="00E5110D" w:rsidRPr="00A80C5E">
              <w:rPr>
                <w:rFonts w:ascii="Times New Roman" w:eastAsia="Calibri" w:hAnsi="Times New Roman" w:cs="Times New Roman"/>
                <w:sz w:val="18"/>
                <w:szCs w:val="20"/>
              </w:rPr>
              <w:t>,00</w:t>
            </w:r>
          </w:p>
        </w:tc>
        <w:tc>
          <w:tcPr>
            <w:tcW w:w="1889" w:type="dxa"/>
            <w:tcBorders>
              <w:top w:val="nil"/>
              <w:left w:val="single" w:sz="18" w:space="0" w:color="FFFFFF"/>
              <w:bottom w:val="nil"/>
              <w:right w:val="nil"/>
            </w:tcBorders>
            <w:shd w:val="clear" w:color="auto" w:fill="auto"/>
          </w:tcPr>
          <w:p w14:paraId="03A91482" w14:textId="7C4CFE19"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3.199</w:t>
            </w:r>
            <w:r w:rsidR="00E5110D" w:rsidRPr="00A80C5E">
              <w:rPr>
                <w:rFonts w:ascii="Times New Roman" w:eastAsia="Calibri" w:hAnsi="Times New Roman" w:cs="Times New Roman"/>
                <w:sz w:val="18"/>
                <w:szCs w:val="20"/>
              </w:rPr>
              <w:t>,00</w:t>
            </w:r>
          </w:p>
        </w:tc>
      </w:tr>
      <w:tr w:rsidR="00DB6824" w:rsidRPr="00DB6824" w14:paraId="41731ED5" w14:textId="77777777" w:rsidTr="008364D3">
        <w:trPr>
          <w:trHeight w:val="283"/>
          <w:jc w:val="center"/>
        </w:trPr>
        <w:tc>
          <w:tcPr>
            <w:tcW w:w="2819" w:type="dxa"/>
            <w:tcBorders>
              <w:top w:val="nil"/>
              <w:left w:val="nil"/>
              <w:bottom w:val="nil"/>
              <w:right w:val="single" w:sz="18" w:space="0" w:color="FFFFFF"/>
            </w:tcBorders>
            <w:shd w:val="clear" w:color="auto" w:fill="F2F2F2"/>
          </w:tcPr>
          <w:p w14:paraId="5A3FEB6F" w14:textId="77777777" w:rsidR="00DB6824" w:rsidRPr="00A80C5E" w:rsidRDefault="00DB6824" w:rsidP="00DB6824">
            <w:pPr>
              <w:spacing w:after="0" w:line="276" w:lineRule="auto"/>
              <w:rPr>
                <w:rFonts w:ascii="Times New Roman" w:eastAsia="Calibri" w:hAnsi="Times New Roman" w:cs="Times New Roman"/>
                <w:sz w:val="18"/>
                <w:szCs w:val="20"/>
              </w:rPr>
            </w:pPr>
            <w:r w:rsidRPr="00A80C5E">
              <w:rPr>
                <w:rFonts w:ascii="Times New Roman" w:eastAsia="Calibri" w:hAnsi="Times New Roman" w:cs="Times New Roman"/>
                <w:sz w:val="18"/>
                <w:szCs w:val="20"/>
              </w:rPr>
              <w:t>Ostali</w:t>
            </w:r>
          </w:p>
        </w:tc>
        <w:tc>
          <w:tcPr>
            <w:tcW w:w="2261" w:type="dxa"/>
            <w:tcBorders>
              <w:top w:val="nil"/>
              <w:left w:val="single" w:sz="18" w:space="0" w:color="FFFFFF"/>
              <w:bottom w:val="nil"/>
              <w:right w:val="single" w:sz="18" w:space="0" w:color="FFFFFF"/>
            </w:tcBorders>
            <w:shd w:val="clear" w:color="auto" w:fill="F2F2F2"/>
          </w:tcPr>
          <w:p w14:paraId="6137F11E" w14:textId="20B93AD6"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236.230</w:t>
            </w:r>
            <w:r w:rsidR="00E5110D" w:rsidRPr="00A80C5E">
              <w:rPr>
                <w:rFonts w:ascii="Times New Roman" w:eastAsia="Calibri" w:hAnsi="Times New Roman" w:cs="Times New Roman"/>
                <w:sz w:val="18"/>
                <w:szCs w:val="20"/>
              </w:rPr>
              <w:t>,00</w:t>
            </w:r>
          </w:p>
        </w:tc>
        <w:tc>
          <w:tcPr>
            <w:tcW w:w="1230" w:type="dxa"/>
            <w:tcBorders>
              <w:top w:val="nil"/>
              <w:left w:val="single" w:sz="18" w:space="0" w:color="FFFFFF"/>
              <w:bottom w:val="nil"/>
              <w:right w:val="single" w:sz="18" w:space="0" w:color="FFFFFF"/>
            </w:tcBorders>
            <w:shd w:val="clear" w:color="auto" w:fill="F2F2F2"/>
          </w:tcPr>
          <w:p w14:paraId="3A29E60A" w14:textId="42CACB8B"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201.098</w:t>
            </w:r>
            <w:r w:rsidR="00E5110D" w:rsidRPr="00A80C5E">
              <w:rPr>
                <w:rFonts w:ascii="Times New Roman" w:eastAsia="Calibri" w:hAnsi="Times New Roman" w:cs="Times New Roman"/>
                <w:sz w:val="18"/>
                <w:szCs w:val="20"/>
              </w:rPr>
              <w:t>,00</w:t>
            </w:r>
          </w:p>
        </w:tc>
        <w:tc>
          <w:tcPr>
            <w:tcW w:w="1889" w:type="dxa"/>
            <w:tcBorders>
              <w:top w:val="nil"/>
              <w:left w:val="single" w:sz="18" w:space="0" w:color="FFFFFF"/>
              <w:bottom w:val="nil"/>
              <w:right w:val="nil"/>
            </w:tcBorders>
            <w:shd w:val="clear" w:color="auto" w:fill="F2F2F2"/>
          </w:tcPr>
          <w:p w14:paraId="746AD4D0" w14:textId="30BD036A" w:rsidR="00DB6824" w:rsidRPr="00A80C5E" w:rsidRDefault="00DB6824" w:rsidP="00DB6824">
            <w:pPr>
              <w:spacing w:after="0" w:line="276" w:lineRule="auto"/>
              <w:jc w:val="center"/>
              <w:rPr>
                <w:rFonts w:ascii="Times New Roman" w:eastAsia="Calibri" w:hAnsi="Times New Roman" w:cs="Times New Roman"/>
                <w:sz w:val="18"/>
                <w:szCs w:val="20"/>
              </w:rPr>
            </w:pPr>
            <w:r w:rsidRPr="00A80C5E">
              <w:rPr>
                <w:rFonts w:ascii="Times New Roman" w:eastAsia="Calibri" w:hAnsi="Times New Roman" w:cs="Times New Roman"/>
                <w:sz w:val="18"/>
                <w:szCs w:val="20"/>
              </w:rPr>
              <w:t>35.132</w:t>
            </w:r>
            <w:r w:rsidR="00E5110D" w:rsidRPr="00A80C5E">
              <w:rPr>
                <w:rFonts w:ascii="Times New Roman" w:eastAsia="Calibri" w:hAnsi="Times New Roman" w:cs="Times New Roman"/>
                <w:sz w:val="18"/>
                <w:szCs w:val="20"/>
              </w:rPr>
              <w:t>,00</w:t>
            </w:r>
          </w:p>
        </w:tc>
      </w:tr>
      <w:tr w:rsidR="00DB6824" w:rsidRPr="00DB6824" w14:paraId="63A4E3F8" w14:textId="77777777" w:rsidTr="008364D3">
        <w:trPr>
          <w:trHeight w:val="283"/>
          <w:jc w:val="center"/>
        </w:trPr>
        <w:tc>
          <w:tcPr>
            <w:tcW w:w="2819" w:type="dxa"/>
            <w:tcBorders>
              <w:top w:val="nil"/>
              <w:left w:val="nil"/>
              <w:bottom w:val="nil"/>
              <w:right w:val="single" w:sz="18" w:space="0" w:color="FFFFFF"/>
            </w:tcBorders>
            <w:shd w:val="clear" w:color="auto" w:fill="D9D9D9"/>
          </w:tcPr>
          <w:p w14:paraId="7872A12D" w14:textId="77777777" w:rsidR="00DB6824" w:rsidRPr="00A80C5E" w:rsidRDefault="00DB6824" w:rsidP="00DB6824">
            <w:pPr>
              <w:spacing w:after="0" w:line="276" w:lineRule="auto"/>
              <w:rPr>
                <w:rFonts w:ascii="Times New Roman" w:eastAsia="Calibri" w:hAnsi="Times New Roman" w:cs="Times New Roman"/>
                <w:b/>
                <w:sz w:val="18"/>
                <w:szCs w:val="20"/>
              </w:rPr>
            </w:pPr>
            <w:r w:rsidRPr="00A80C5E">
              <w:rPr>
                <w:rFonts w:ascii="Times New Roman" w:eastAsia="Calibri" w:hAnsi="Times New Roman" w:cs="Times New Roman"/>
                <w:b/>
                <w:sz w:val="18"/>
                <w:szCs w:val="20"/>
              </w:rPr>
              <w:t>UKUPNO / EUR</w:t>
            </w:r>
          </w:p>
        </w:tc>
        <w:tc>
          <w:tcPr>
            <w:tcW w:w="2261" w:type="dxa"/>
            <w:tcBorders>
              <w:top w:val="nil"/>
              <w:left w:val="single" w:sz="18" w:space="0" w:color="FFFFFF"/>
              <w:bottom w:val="nil"/>
              <w:right w:val="single" w:sz="18" w:space="0" w:color="FFFFFF"/>
            </w:tcBorders>
            <w:shd w:val="clear" w:color="auto" w:fill="D9D9D9"/>
          </w:tcPr>
          <w:p w14:paraId="609E2658" w14:textId="00F1084F" w:rsidR="00DB6824" w:rsidRPr="00A80C5E" w:rsidRDefault="00DB6824" w:rsidP="00E5110D">
            <w:pPr>
              <w:spacing w:after="0" w:line="276" w:lineRule="auto"/>
              <w:jc w:val="center"/>
              <w:rPr>
                <w:rFonts w:ascii="Times New Roman" w:eastAsia="Calibri" w:hAnsi="Times New Roman" w:cs="Times New Roman"/>
                <w:b/>
                <w:sz w:val="18"/>
                <w:szCs w:val="20"/>
              </w:rPr>
            </w:pPr>
            <w:r w:rsidRPr="00A80C5E">
              <w:rPr>
                <w:rFonts w:ascii="Times New Roman" w:eastAsia="Calibri" w:hAnsi="Times New Roman" w:cs="Times New Roman"/>
                <w:b/>
                <w:sz w:val="18"/>
                <w:szCs w:val="20"/>
              </w:rPr>
              <w:t>997.04</w:t>
            </w:r>
            <w:r w:rsidR="00E5110D" w:rsidRPr="00A80C5E">
              <w:rPr>
                <w:rFonts w:ascii="Times New Roman" w:eastAsia="Calibri" w:hAnsi="Times New Roman" w:cs="Times New Roman"/>
                <w:b/>
                <w:sz w:val="18"/>
                <w:szCs w:val="20"/>
              </w:rPr>
              <w:t>7,70</w:t>
            </w:r>
          </w:p>
        </w:tc>
        <w:tc>
          <w:tcPr>
            <w:tcW w:w="1230" w:type="dxa"/>
            <w:tcBorders>
              <w:top w:val="nil"/>
              <w:left w:val="single" w:sz="18" w:space="0" w:color="FFFFFF"/>
              <w:bottom w:val="nil"/>
              <w:right w:val="single" w:sz="18" w:space="0" w:color="FFFFFF"/>
            </w:tcBorders>
            <w:shd w:val="clear" w:color="auto" w:fill="D9D9D9"/>
          </w:tcPr>
          <w:p w14:paraId="2E31E67F" w14:textId="3EB061A8" w:rsidR="00DB6824" w:rsidRPr="00A80C5E" w:rsidRDefault="00DB6824" w:rsidP="00DB6824">
            <w:pPr>
              <w:spacing w:after="0" w:line="276" w:lineRule="auto"/>
              <w:jc w:val="center"/>
              <w:rPr>
                <w:rFonts w:ascii="Times New Roman" w:eastAsia="Calibri" w:hAnsi="Times New Roman" w:cs="Times New Roman"/>
                <w:b/>
                <w:sz w:val="18"/>
                <w:szCs w:val="20"/>
              </w:rPr>
            </w:pPr>
            <w:r w:rsidRPr="00A80C5E">
              <w:rPr>
                <w:rFonts w:ascii="Times New Roman" w:eastAsia="Calibri" w:hAnsi="Times New Roman" w:cs="Times New Roman"/>
                <w:b/>
                <w:sz w:val="18"/>
                <w:szCs w:val="20"/>
              </w:rPr>
              <w:t>918.328</w:t>
            </w:r>
            <w:r w:rsidR="00E5110D" w:rsidRPr="00A80C5E">
              <w:rPr>
                <w:rFonts w:ascii="Times New Roman" w:eastAsia="Calibri" w:hAnsi="Times New Roman" w:cs="Times New Roman"/>
                <w:b/>
                <w:sz w:val="18"/>
                <w:szCs w:val="20"/>
              </w:rPr>
              <w:t>,00</w:t>
            </w:r>
          </w:p>
        </w:tc>
        <w:tc>
          <w:tcPr>
            <w:tcW w:w="1889" w:type="dxa"/>
            <w:tcBorders>
              <w:top w:val="nil"/>
              <w:left w:val="single" w:sz="18" w:space="0" w:color="FFFFFF"/>
              <w:bottom w:val="nil"/>
              <w:right w:val="nil"/>
            </w:tcBorders>
            <w:shd w:val="clear" w:color="auto" w:fill="D9D9D9"/>
          </w:tcPr>
          <w:p w14:paraId="4B645886" w14:textId="354DA5E1" w:rsidR="00DB6824" w:rsidRPr="00A80C5E" w:rsidRDefault="00DB6824" w:rsidP="00E5110D">
            <w:pPr>
              <w:spacing w:after="0" w:line="276" w:lineRule="auto"/>
              <w:jc w:val="center"/>
              <w:rPr>
                <w:rFonts w:ascii="Times New Roman" w:eastAsia="Calibri" w:hAnsi="Times New Roman" w:cs="Times New Roman"/>
                <w:b/>
                <w:sz w:val="18"/>
                <w:szCs w:val="20"/>
              </w:rPr>
            </w:pPr>
            <w:r w:rsidRPr="00A80C5E">
              <w:rPr>
                <w:rFonts w:ascii="Times New Roman" w:eastAsia="Calibri" w:hAnsi="Times New Roman" w:cs="Times New Roman"/>
                <w:b/>
                <w:sz w:val="18"/>
                <w:szCs w:val="20"/>
              </w:rPr>
              <w:t>78.7</w:t>
            </w:r>
            <w:r w:rsidR="00E5110D" w:rsidRPr="00A80C5E">
              <w:rPr>
                <w:rFonts w:ascii="Times New Roman" w:eastAsia="Calibri" w:hAnsi="Times New Roman" w:cs="Times New Roman"/>
                <w:b/>
                <w:sz w:val="18"/>
                <w:szCs w:val="20"/>
              </w:rPr>
              <w:t>19,70</w:t>
            </w:r>
          </w:p>
        </w:tc>
      </w:tr>
    </w:tbl>
    <w:p w14:paraId="47CA9263" w14:textId="77777777" w:rsidR="00DB6824" w:rsidRPr="00DB6824" w:rsidRDefault="00DB6824" w:rsidP="00DB6824">
      <w:pPr>
        <w:spacing w:after="0" w:line="276" w:lineRule="auto"/>
        <w:contextualSpacing/>
        <w:jc w:val="both"/>
        <w:rPr>
          <w:rFonts w:ascii="Cambria" w:eastAsia="Calibri" w:hAnsi="Cambria" w:cs="Times New Roman"/>
        </w:rPr>
      </w:pPr>
    </w:p>
    <w:p w14:paraId="415EAC04" w14:textId="77777777" w:rsidR="00DB6824" w:rsidRPr="00DB6824" w:rsidRDefault="00DB6824" w:rsidP="00DB6824">
      <w:pPr>
        <w:spacing w:after="0" w:line="276" w:lineRule="auto"/>
        <w:contextualSpacing/>
        <w:jc w:val="center"/>
        <w:rPr>
          <w:rFonts w:ascii="Cambria" w:eastAsia="Calibri" w:hAnsi="Cambria" w:cs="Times New Roman"/>
          <w:bCs/>
          <w:i/>
          <w:color w:val="FF0000"/>
        </w:rPr>
      </w:pPr>
    </w:p>
    <w:p w14:paraId="67F9FD4D" w14:textId="5E38B693" w:rsidR="00DB6824" w:rsidRPr="00A80C5E" w:rsidRDefault="00DB6824" w:rsidP="00DB6824">
      <w:pPr>
        <w:spacing w:after="0" w:line="276" w:lineRule="auto"/>
        <w:contextualSpacing/>
        <w:jc w:val="both"/>
        <w:rPr>
          <w:rFonts w:ascii="Times New Roman" w:eastAsia="Calibri" w:hAnsi="Times New Roman" w:cs="Times New Roman"/>
        </w:rPr>
      </w:pPr>
      <w:r w:rsidRPr="00A80C5E">
        <w:rPr>
          <w:rFonts w:ascii="Times New Roman" w:eastAsia="Calibri" w:hAnsi="Times New Roman" w:cs="Times New Roman"/>
        </w:rPr>
        <w:t>Obveze za poreze, doprinose i druga javna davanja  na 31.12.2024. godine su iznosile 80.15</w:t>
      </w:r>
      <w:r w:rsidR="00E5110D" w:rsidRPr="00A80C5E">
        <w:rPr>
          <w:rFonts w:ascii="Times New Roman" w:eastAsia="Calibri" w:hAnsi="Times New Roman" w:cs="Times New Roman"/>
        </w:rPr>
        <w:t>2,66</w:t>
      </w:r>
      <w:r w:rsidRPr="00A80C5E">
        <w:rPr>
          <w:rFonts w:ascii="Times New Roman" w:eastAsia="Calibri" w:hAnsi="Times New Roman" w:cs="Times New Roman"/>
        </w:rPr>
        <w:t xml:space="preserve"> EUR te kao takve bilježe smanjenje od 6% u odnosu na 2023. godinu. Obveza prema zaposlenicima približno je ista kao i za 2023. godinu, dok su ostale kratkoročne obveze za 11% veće u odnosu na prethodnu godinu, a većim djelom se odnose na jamčevine uplaćene prema objavljenom natječaju za ustupanje napuštenih grobnih mjesta temeljem Odluke o grobljima i Odluke o načinu dodjele grobnih mjesta. </w:t>
      </w:r>
    </w:p>
    <w:p w14:paraId="75443621" w14:textId="77777777" w:rsidR="00B40BCA" w:rsidRPr="00A80C5E" w:rsidRDefault="00B40BCA" w:rsidP="00B40BCA">
      <w:pPr>
        <w:autoSpaceDE w:val="0"/>
        <w:autoSpaceDN w:val="0"/>
        <w:adjustRightInd w:val="0"/>
        <w:spacing w:after="0" w:line="276" w:lineRule="auto"/>
        <w:jc w:val="both"/>
        <w:rPr>
          <w:rFonts w:ascii="Times New Roman" w:eastAsia="Times New Roman" w:hAnsi="Times New Roman" w:cs="Times New Roman"/>
          <w:lang w:eastAsia="hr-HR"/>
        </w:rPr>
      </w:pPr>
    </w:p>
    <w:p w14:paraId="316107D6" w14:textId="623A2747" w:rsidR="00131D13" w:rsidRPr="00A80C5E" w:rsidRDefault="005708B4" w:rsidP="00131D13">
      <w:pPr>
        <w:spacing w:after="0" w:line="276" w:lineRule="auto"/>
        <w:contextualSpacing/>
        <w:jc w:val="both"/>
        <w:rPr>
          <w:rFonts w:ascii="Times New Roman" w:eastAsia="Calibri" w:hAnsi="Times New Roman" w:cs="Times New Roman"/>
          <w:b/>
        </w:rPr>
      </w:pPr>
      <w:r w:rsidRPr="00A80C5E">
        <w:rPr>
          <w:rFonts w:ascii="Times New Roman" w:eastAsia="Calibri" w:hAnsi="Times New Roman" w:cs="Times New Roman"/>
          <w:b/>
        </w:rPr>
        <w:t>B</w:t>
      </w:r>
      <w:r w:rsidR="00131D13" w:rsidRPr="00A80C5E">
        <w:rPr>
          <w:rFonts w:ascii="Times New Roman" w:eastAsia="Calibri" w:hAnsi="Times New Roman" w:cs="Times New Roman"/>
          <w:b/>
        </w:rPr>
        <w:t>ilješka 12. Odgođeno plaćanje troškova i prihoda budućeg razdoblja</w:t>
      </w:r>
    </w:p>
    <w:p w14:paraId="6C01C6FA" w14:textId="77777777" w:rsidR="005708B4" w:rsidRPr="00A80C5E" w:rsidRDefault="005708B4" w:rsidP="00131D13">
      <w:pPr>
        <w:spacing w:after="0" w:line="276" w:lineRule="auto"/>
        <w:contextualSpacing/>
        <w:jc w:val="both"/>
        <w:rPr>
          <w:rFonts w:ascii="Times New Roman" w:eastAsia="Calibri" w:hAnsi="Times New Roman" w:cs="Times New Roman"/>
          <w:b/>
        </w:rPr>
      </w:pPr>
    </w:p>
    <w:p w14:paraId="0C202751" w14:textId="0F19BF62" w:rsidR="00DB6824" w:rsidRPr="00A80C5E" w:rsidRDefault="00DB6824" w:rsidP="00DB6824">
      <w:pPr>
        <w:spacing w:after="0" w:line="276" w:lineRule="auto"/>
        <w:jc w:val="both"/>
        <w:rPr>
          <w:rFonts w:ascii="Times New Roman" w:eastAsia="Calibri" w:hAnsi="Times New Roman" w:cs="Times New Roman"/>
        </w:rPr>
      </w:pPr>
      <w:r w:rsidRPr="00A80C5E">
        <w:rPr>
          <w:rFonts w:ascii="Times New Roman" w:eastAsia="Calibri" w:hAnsi="Times New Roman" w:cs="Times New Roman"/>
        </w:rPr>
        <w:t>U okviru skupine pasivnih vremenskih razgraničenja evidentiran je iznos od 180.05</w:t>
      </w:r>
      <w:r w:rsidR="00890AD6" w:rsidRPr="00A80C5E">
        <w:rPr>
          <w:rFonts w:ascii="Times New Roman" w:eastAsia="Calibri" w:hAnsi="Times New Roman" w:cs="Times New Roman"/>
        </w:rPr>
        <w:t>1,50</w:t>
      </w:r>
      <w:r w:rsidRPr="00A80C5E">
        <w:rPr>
          <w:rFonts w:ascii="Times New Roman" w:eastAsia="Calibri" w:hAnsi="Times New Roman" w:cs="Times New Roman"/>
        </w:rPr>
        <w:t xml:space="preserve"> EUR, koji se odnosi na saldo dotacije od Grada Pule za financiranje investicije proširenja gradskog groblja u Puli koji se postepeno isključuje s ove pozicije i priznaje u prihode prema obračunu amortizacije na ulaganja u  tuđu imovinu. U 2024. godini bilježimo iznos od 6.244</w:t>
      </w:r>
      <w:r w:rsidR="00890AD6" w:rsidRPr="00A80C5E">
        <w:rPr>
          <w:rFonts w:ascii="Times New Roman" w:eastAsia="Calibri" w:hAnsi="Times New Roman" w:cs="Times New Roman"/>
        </w:rPr>
        <w:t>,32</w:t>
      </w:r>
      <w:r w:rsidRPr="00A80C5E">
        <w:rPr>
          <w:rFonts w:ascii="Times New Roman" w:eastAsia="Calibri" w:hAnsi="Times New Roman" w:cs="Times New Roman"/>
        </w:rPr>
        <w:t xml:space="preserve"> EUR evidentirano na poziciji prihoda od potpora. U skupini vremenskih razgraničenja evidentiran je iznos od 35.78</w:t>
      </w:r>
      <w:r w:rsidR="00890AD6" w:rsidRPr="00A80C5E">
        <w:rPr>
          <w:rFonts w:ascii="Times New Roman" w:eastAsia="Calibri" w:hAnsi="Times New Roman" w:cs="Times New Roman"/>
        </w:rPr>
        <w:t>7,87</w:t>
      </w:r>
      <w:r w:rsidRPr="00A80C5E">
        <w:rPr>
          <w:rFonts w:ascii="Times New Roman" w:eastAsia="Calibri" w:hAnsi="Times New Roman" w:cs="Times New Roman"/>
        </w:rPr>
        <w:t xml:space="preserve"> EUR obračunatog troška za neiskorišteni godišnji odmor iz 2024. godine, a koji će se koristiti do 30.06.2025. godine.</w:t>
      </w:r>
    </w:p>
    <w:p w14:paraId="1737953B" w14:textId="77777777" w:rsidR="00A81432" w:rsidRPr="00A80C5E" w:rsidRDefault="00A81432" w:rsidP="00DB6824">
      <w:pPr>
        <w:spacing w:after="0" w:line="276" w:lineRule="auto"/>
        <w:rPr>
          <w:rFonts w:ascii="Times New Roman" w:eastAsia="Calibri" w:hAnsi="Times New Roman" w:cs="Times New Roman"/>
          <w:noProof/>
          <w:color w:val="FF0000"/>
          <w:kern w:val="3"/>
          <w:lang w:eastAsia="hr-HR"/>
        </w:rPr>
      </w:pPr>
    </w:p>
    <w:p w14:paraId="069E5DC0" w14:textId="69CFD7C2" w:rsidR="00A80C5E" w:rsidRPr="00A80C5E" w:rsidRDefault="00A80C5E" w:rsidP="00A80C5E">
      <w:pPr>
        <w:widowControl w:val="0"/>
        <w:spacing w:after="0" w:line="280" w:lineRule="exact"/>
        <w:jc w:val="right"/>
        <w:rPr>
          <w:rFonts w:ascii="Times New Roman" w:eastAsia="Times New Roman" w:hAnsi="Times New Roman" w:cs="Times New Roman"/>
        </w:rPr>
      </w:pPr>
      <w:r w:rsidRPr="00A80C5E">
        <w:rPr>
          <w:rFonts w:ascii="Times New Roman" w:eastAsia="Times New Roman" w:hAnsi="Times New Roman" w:cs="Times New Roman"/>
        </w:rPr>
        <w:t>9</w:t>
      </w:r>
    </w:p>
    <w:p w14:paraId="047F30B2" w14:textId="77777777" w:rsidR="00A80C5E" w:rsidRDefault="00A80C5E" w:rsidP="00A81432">
      <w:pPr>
        <w:widowControl w:val="0"/>
        <w:spacing w:after="0" w:line="280" w:lineRule="exact"/>
        <w:jc w:val="both"/>
        <w:rPr>
          <w:rFonts w:ascii="Times New Roman" w:eastAsia="Times New Roman" w:hAnsi="Times New Roman" w:cs="Times New Roman"/>
          <w:b/>
        </w:rPr>
      </w:pPr>
    </w:p>
    <w:p w14:paraId="1E7BDB02" w14:textId="77777777" w:rsidR="00A80C5E" w:rsidRDefault="00A80C5E" w:rsidP="00A81432">
      <w:pPr>
        <w:widowControl w:val="0"/>
        <w:spacing w:after="0" w:line="280" w:lineRule="exact"/>
        <w:jc w:val="both"/>
        <w:rPr>
          <w:rFonts w:ascii="Times New Roman" w:eastAsia="Times New Roman" w:hAnsi="Times New Roman" w:cs="Times New Roman"/>
          <w:b/>
        </w:rPr>
      </w:pPr>
    </w:p>
    <w:p w14:paraId="108D9400" w14:textId="77777777" w:rsidR="00A80C5E" w:rsidRDefault="00A80C5E" w:rsidP="00A81432">
      <w:pPr>
        <w:widowControl w:val="0"/>
        <w:spacing w:after="0" w:line="280" w:lineRule="exact"/>
        <w:jc w:val="both"/>
        <w:rPr>
          <w:rFonts w:ascii="Times New Roman" w:eastAsia="Times New Roman" w:hAnsi="Times New Roman" w:cs="Times New Roman"/>
          <w:b/>
        </w:rPr>
      </w:pPr>
    </w:p>
    <w:p w14:paraId="2273874A" w14:textId="77777777" w:rsidR="00A80C5E" w:rsidRDefault="00A80C5E" w:rsidP="00A81432">
      <w:pPr>
        <w:widowControl w:val="0"/>
        <w:spacing w:after="0" w:line="280" w:lineRule="exact"/>
        <w:jc w:val="both"/>
        <w:rPr>
          <w:rFonts w:ascii="Times New Roman" w:eastAsia="Times New Roman" w:hAnsi="Times New Roman" w:cs="Times New Roman"/>
          <w:b/>
        </w:rPr>
      </w:pPr>
    </w:p>
    <w:p w14:paraId="4519D9B4" w14:textId="77777777" w:rsidR="00A80C5E" w:rsidRDefault="00A80C5E" w:rsidP="00A81432">
      <w:pPr>
        <w:widowControl w:val="0"/>
        <w:spacing w:after="0" w:line="280" w:lineRule="exact"/>
        <w:jc w:val="both"/>
        <w:rPr>
          <w:rFonts w:ascii="Times New Roman" w:eastAsia="Times New Roman" w:hAnsi="Times New Roman" w:cs="Times New Roman"/>
          <w:b/>
        </w:rPr>
      </w:pPr>
    </w:p>
    <w:p w14:paraId="0BC1B499" w14:textId="77777777" w:rsidR="00A80C5E" w:rsidRDefault="00A80C5E" w:rsidP="00A81432">
      <w:pPr>
        <w:widowControl w:val="0"/>
        <w:spacing w:after="0" w:line="280" w:lineRule="exact"/>
        <w:jc w:val="both"/>
        <w:rPr>
          <w:rFonts w:ascii="Times New Roman" w:eastAsia="Times New Roman" w:hAnsi="Times New Roman" w:cs="Times New Roman"/>
          <w:b/>
        </w:rPr>
      </w:pPr>
    </w:p>
    <w:p w14:paraId="6EBBE8A1" w14:textId="77777777" w:rsidR="00A81432" w:rsidRPr="00A80C5E" w:rsidRDefault="00A81432" w:rsidP="00A81432">
      <w:pPr>
        <w:widowControl w:val="0"/>
        <w:spacing w:after="0" w:line="280" w:lineRule="exact"/>
        <w:jc w:val="both"/>
        <w:rPr>
          <w:rFonts w:ascii="Times New Roman" w:eastAsia="Times New Roman" w:hAnsi="Times New Roman" w:cs="Times New Roman"/>
          <w:b/>
        </w:rPr>
      </w:pPr>
      <w:r w:rsidRPr="00A80C5E">
        <w:rPr>
          <w:rFonts w:ascii="Times New Roman" w:eastAsia="Times New Roman" w:hAnsi="Times New Roman" w:cs="Times New Roman"/>
          <w:b/>
        </w:rPr>
        <w:t xml:space="preserve">Bilješka 13. </w:t>
      </w:r>
      <w:proofErr w:type="spellStart"/>
      <w:r w:rsidRPr="00A80C5E">
        <w:rPr>
          <w:rFonts w:ascii="Times New Roman" w:eastAsia="Times New Roman" w:hAnsi="Times New Roman" w:cs="Times New Roman"/>
          <w:b/>
        </w:rPr>
        <w:t>Izvanbilančni</w:t>
      </w:r>
      <w:proofErr w:type="spellEnd"/>
      <w:r w:rsidRPr="00A80C5E">
        <w:rPr>
          <w:rFonts w:ascii="Times New Roman" w:eastAsia="Times New Roman" w:hAnsi="Times New Roman" w:cs="Times New Roman"/>
          <w:b/>
        </w:rPr>
        <w:t xml:space="preserve"> zapisi</w:t>
      </w:r>
    </w:p>
    <w:p w14:paraId="39D85669" w14:textId="77777777" w:rsidR="00A81432" w:rsidRPr="00A80C5E" w:rsidRDefault="00A81432" w:rsidP="00A81432">
      <w:pPr>
        <w:widowControl w:val="0"/>
        <w:spacing w:after="0" w:line="280" w:lineRule="exact"/>
        <w:jc w:val="both"/>
        <w:rPr>
          <w:rFonts w:ascii="Times New Roman" w:eastAsia="Times New Roman" w:hAnsi="Times New Roman" w:cs="Times New Roman"/>
          <w:b/>
        </w:rPr>
      </w:pPr>
    </w:p>
    <w:tbl>
      <w:tblPr>
        <w:tblW w:w="8789" w:type="dxa"/>
        <w:tblInd w:w="108" w:type="dxa"/>
        <w:tblLayout w:type="fixed"/>
        <w:tblLook w:val="0000" w:firstRow="0" w:lastRow="0" w:firstColumn="0" w:lastColumn="0" w:noHBand="0" w:noVBand="0"/>
      </w:tblPr>
      <w:tblGrid>
        <w:gridCol w:w="5387"/>
        <w:gridCol w:w="1701"/>
        <w:gridCol w:w="1701"/>
      </w:tblGrid>
      <w:tr w:rsidR="00DB6824" w:rsidRPr="00A80C5E" w14:paraId="24C00872" w14:textId="77777777" w:rsidTr="00DB6824">
        <w:trPr>
          <w:trHeight w:val="288"/>
        </w:trPr>
        <w:tc>
          <w:tcPr>
            <w:tcW w:w="5387" w:type="dxa"/>
            <w:tcBorders>
              <w:bottom w:val="single" w:sz="4" w:space="0" w:color="auto"/>
            </w:tcBorders>
            <w:vAlign w:val="bottom"/>
          </w:tcPr>
          <w:p w14:paraId="3B77BF9B" w14:textId="77777777" w:rsidR="00DB6824" w:rsidRPr="00A80C5E" w:rsidRDefault="00DB6824" w:rsidP="00DB6824">
            <w:pPr>
              <w:spacing w:after="0" w:line="240" w:lineRule="auto"/>
              <w:rPr>
                <w:rFonts w:ascii="Times New Roman" w:eastAsia="Times New Roman" w:hAnsi="Times New Roman" w:cs="Times New Roman"/>
                <w:b/>
                <w:bCs/>
                <w:lang w:eastAsia="hr-HR"/>
              </w:rPr>
            </w:pPr>
            <w:r w:rsidRPr="00A80C5E">
              <w:rPr>
                <w:rFonts w:ascii="Times New Roman" w:eastAsia="Times New Roman" w:hAnsi="Times New Roman" w:cs="Times New Roman"/>
                <w:b/>
                <w:bCs/>
                <w:lang w:eastAsia="hr-HR"/>
              </w:rPr>
              <w:t xml:space="preserve">Naziv </w:t>
            </w:r>
          </w:p>
        </w:tc>
        <w:tc>
          <w:tcPr>
            <w:tcW w:w="1701" w:type="dxa"/>
            <w:tcBorders>
              <w:bottom w:val="single" w:sz="4" w:space="0" w:color="auto"/>
            </w:tcBorders>
          </w:tcPr>
          <w:p w14:paraId="6A5CD3CA" w14:textId="4BA4DE2B" w:rsidR="00DB6824" w:rsidRPr="00A80C5E" w:rsidRDefault="00DB6824" w:rsidP="00DB6824">
            <w:pPr>
              <w:spacing w:after="0" w:line="240" w:lineRule="auto"/>
              <w:jc w:val="right"/>
              <w:rPr>
                <w:rFonts w:ascii="Times New Roman" w:eastAsia="Times New Roman" w:hAnsi="Times New Roman" w:cs="Times New Roman"/>
                <w:b/>
                <w:bCs/>
              </w:rPr>
            </w:pPr>
            <w:r w:rsidRPr="00A80C5E">
              <w:rPr>
                <w:rFonts w:ascii="Times New Roman" w:eastAsia="Times New Roman" w:hAnsi="Times New Roman" w:cs="Times New Roman"/>
                <w:b/>
                <w:bCs/>
              </w:rPr>
              <w:t>2023.</w:t>
            </w:r>
          </w:p>
        </w:tc>
        <w:tc>
          <w:tcPr>
            <w:tcW w:w="1701" w:type="dxa"/>
            <w:tcBorders>
              <w:bottom w:val="single" w:sz="4" w:space="0" w:color="auto"/>
            </w:tcBorders>
          </w:tcPr>
          <w:p w14:paraId="689E8778" w14:textId="1AC64E66" w:rsidR="00DB6824" w:rsidRPr="00A80C5E" w:rsidRDefault="00DB6824" w:rsidP="00DB6824">
            <w:pPr>
              <w:spacing w:after="0" w:line="240" w:lineRule="auto"/>
              <w:jc w:val="right"/>
              <w:rPr>
                <w:rFonts w:ascii="Times New Roman" w:eastAsia="Times New Roman" w:hAnsi="Times New Roman" w:cs="Times New Roman"/>
                <w:b/>
                <w:bCs/>
              </w:rPr>
            </w:pPr>
            <w:r w:rsidRPr="00A80C5E">
              <w:rPr>
                <w:rFonts w:ascii="Times New Roman" w:eastAsia="Times New Roman" w:hAnsi="Times New Roman" w:cs="Times New Roman"/>
                <w:b/>
                <w:bCs/>
              </w:rPr>
              <w:t>2024.</w:t>
            </w:r>
          </w:p>
        </w:tc>
      </w:tr>
      <w:tr w:rsidR="00DB6824" w:rsidRPr="0075481A" w14:paraId="79DB1990" w14:textId="77777777" w:rsidTr="00DB6824">
        <w:tc>
          <w:tcPr>
            <w:tcW w:w="5387" w:type="dxa"/>
            <w:tcBorders>
              <w:top w:val="single" w:sz="4" w:space="0" w:color="auto"/>
            </w:tcBorders>
            <w:vAlign w:val="bottom"/>
          </w:tcPr>
          <w:p w14:paraId="7610CEEF" w14:textId="77777777" w:rsidR="00DB6824" w:rsidRPr="0075481A" w:rsidRDefault="00DB6824" w:rsidP="00DB6824">
            <w:pPr>
              <w:spacing w:after="0" w:line="240" w:lineRule="auto"/>
              <w:rPr>
                <w:rFonts w:ascii="Times New Roman" w:eastAsia="Times New Roman" w:hAnsi="Times New Roman" w:cs="Times New Roman"/>
              </w:rPr>
            </w:pPr>
          </w:p>
          <w:p w14:paraId="7DDF98A3" w14:textId="77777777" w:rsidR="00DB6824" w:rsidRPr="0075481A" w:rsidRDefault="00DB6824" w:rsidP="00DB6824">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 xml:space="preserve">Roba u komisiji </w:t>
            </w:r>
          </w:p>
        </w:tc>
        <w:tc>
          <w:tcPr>
            <w:tcW w:w="1701" w:type="dxa"/>
            <w:tcBorders>
              <w:top w:val="single" w:sz="4" w:space="0" w:color="auto"/>
            </w:tcBorders>
            <w:vAlign w:val="bottom"/>
          </w:tcPr>
          <w:p w14:paraId="5C075C14" w14:textId="0EEBF5F6"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2.239,65</w:t>
            </w:r>
          </w:p>
        </w:tc>
        <w:tc>
          <w:tcPr>
            <w:tcW w:w="1701" w:type="dxa"/>
            <w:tcBorders>
              <w:top w:val="single" w:sz="4" w:space="0" w:color="auto"/>
            </w:tcBorders>
            <w:vAlign w:val="bottom"/>
          </w:tcPr>
          <w:p w14:paraId="552B514F" w14:textId="21865A19" w:rsidR="00DB6824" w:rsidRPr="0075481A" w:rsidRDefault="00DB6824" w:rsidP="00890AD6">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2.2</w:t>
            </w:r>
            <w:r w:rsidR="00890AD6">
              <w:rPr>
                <w:rFonts w:ascii="Times New Roman" w:eastAsia="Times New Roman" w:hAnsi="Times New Roman" w:cs="Times New Roman"/>
              </w:rPr>
              <w:t>25,18</w:t>
            </w:r>
          </w:p>
        </w:tc>
      </w:tr>
      <w:tr w:rsidR="00DB6824" w:rsidRPr="0075481A" w14:paraId="3AD41BED" w14:textId="77777777" w:rsidTr="00DB6824">
        <w:tc>
          <w:tcPr>
            <w:tcW w:w="5387" w:type="dxa"/>
            <w:vAlign w:val="bottom"/>
          </w:tcPr>
          <w:p w14:paraId="6570AFA8" w14:textId="77777777" w:rsidR="00DB6824" w:rsidRPr="0075481A" w:rsidRDefault="00DB6824" w:rsidP="00DB6824">
            <w:pPr>
              <w:spacing w:after="0" w:line="240" w:lineRule="auto"/>
              <w:rPr>
                <w:rFonts w:ascii="Times New Roman" w:eastAsia="Times New Roman" w:hAnsi="Times New Roman" w:cs="Times New Roman"/>
              </w:rPr>
            </w:pPr>
          </w:p>
          <w:p w14:paraId="2F0FB419" w14:textId="77777777" w:rsidR="00DB6824" w:rsidRPr="0075481A" w:rsidRDefault="00DB6824" w:rsidP="00DB6824">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Oprema u komisiji</w:t>
            </w:r>
          </w:p>
        </w:tc>
        <w:tc>
          <w:tcPr>
            <w:tcW w:w="1701" w:type="dxa"/>
            <w:vAlign w:val="bottom"/>
          </w:tcPr>
          <w:p w14:paraId="21C9CB4E" w14:textId="0D4785C8"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630,38</w:t>
            </w:r>
          </w:p>
        </w:tc>
        <w:tc>
          <w:tcPr>
            <w:tcW w:w="1701" w:type="dxa"/>
            <w:vAlign w:val="bottom"/>
          </w:tcPr>
          <w:p w14:paraId="3A53C5B2" w14:textId="77777777"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630,38</w:t>
            </w:r>
          </w:p>
        </w:tc>
      </w:tr>
      <w:tr w:rsidR="00DB6824" w:rsidRPr="0075481A" w14:paraId="7F37DEE8" w14:textId="77777777" w:rsidTr="00DB6824">
        <w:tc>
          <w:tcPr>
            <w:tcW w:w="5387" w:type="dxa"/>
            <w:vAlign w:val="bottom"/>
          </w:tcPr>
          <w:p w14:paraId="764019E7" w14:textId="77777777" w:rsidR="00DB6824" w:rsidRPr="0075481A" w:rsidRDefault="00DB6824" w:rsidP="00DB6824">
            <w:pPr>
              <w:spacing w:after="0" w:line="240" w:lineRule="auto"/>
              <w:rPr>
                <w:rFonts w:ascii="Times New Roman" w:eastAsia="Times New Roman" w:hAnsi="Times New Roman" w:cs="Times New Roman"/>
              </w:rPr>
            </w:pPr>
          </w:p>
          <w:p w14:paraId="142EA5B6" w14:textId="77777777" w:rsidR="00DB6824" w:rsidRPr="0075481A" w:rsidRDefault="00DB6824" w:rsidP="00DB6824">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Zemljište – gradsko  groblje Pula</w:t>
            </w:r>
          </w:p>
        </w:tc>
        <w:tc>
          <w:tcPr>
            <w:tcW w:w="1701" w:type="dxa"/>
            <w:vAlign w:val="bottom"/>
          </w:tcPr>
          <w:p w14:paraId="0D75E449" w14:textId="0BE411F7"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675.244,58</w:t>
            </w:r>
          </w:p>
        </w:tc>
        <w:tc>
          <w:tcPr>
            <w:tcW w:w="1701" w:type="dxa"/>
            <w:vAlign w:val="bottom"/>
          </w:tcPr>
          <w:p w14:paraId="4CA208C9" w14:textId="77777777"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675.244,58</w:t>
            </w:r>
          </w:p>
        </w:tc>
      </w:tr>
      <w:tr w:rsidR="00DB6824" w:rsidRPr="0075481A" w14:paraId="045DE51D" w14:textId="77777777" w:rsidTr="00DB6824">
        <w:tc>
          <w:tcPr>
            <w:tcW w:w="5387" w:type="dxa"/>
            <w:vAlign w:val="bottom"/>
          </w:tcPr>
          <w:p w14:paraId="1D6F6CF5" w14:textId="77777777" w:rsidR="00DB6824" w:rsidRPr="0075481A" w:rsidRDefault="00DB6824" w:rsidP="00DB6824">
            <w:pPr>
              <w:spacing w:after="0" w:line="240" w:lineRule="auto"/>
              <w:rPr>
                <w:rFonts w:ascii="Times New Roman" w:eastAsia="Times New Roman" w:hAnsi="Times New Roman" w:cs="Times New Roman"/>
              </w:rPr>
            </w:pPr>
          </w:p>
          <w:p w14:paraId="56B3C473" w14:textId="77777777" w:rsidR="00DB6824" w:rsidRPr="0075481A" w:rsidRDefault="00DB6824" w:rsidP="00DB6824">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 xml:space="preserve">Zemljište – groblje </w:t>
            </w:r>
            <w:proofErr w:type="spellStart"/>
            <w:r w:rsidRPr="0075481A">
              <w:rPr>
                <w:rFonts w:ascii="Times New Roman" w:eastAsia="Times New Roman" w:hAnsi="Times New Roman" w:cs="Times New Roman"/>
              </w:rPr>
              <w:t>Štinjan</w:t>
            </w:r>
            <w:proofErr w:type="spellEnd"/>
          </w:p>
        </w:tc>
        <w:tc>
          <w:tcPr>
            <w:tcW w:w="1701" w:type="dxa"/>
            <w:vAlign w:val="bottom"/>
          </w:tcPr>
          <w:p w14:paraId="29F0D98E" w14:textId="4791EF12"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84.817,11</w:t>
            </w:r>
          </w:p>
        </w:tc>
        <w:tc>
          <w:tcPr>
            <w:tcW w:w="1701" w:type="dxa"/>
            <w:vAlign w:val="bottom"/>
          </w:tcPr>
          <w:p w14:paraId="759586B6" w14:textId="77777777"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84.817,11</w:t>
            </w:r>
          </w:p>
        </w:tc>
      </w:tr>
      <w:tr w:rsidR="00DB6824" w:rsidRPr="0075481A" w14:paraId="60684EE9" w14:textId="77777777" w:rsidTr="00DB6824">
        <w:tc>
          <w:tcPr>
            <w:tcW w:w="5387" w:type="dxa"/>
            <w:vAlign w:val="bottom"/>
          </w:tcPr>
          <w:p w14:paraId="212B39B7" w14:textId="77777777" w:rsidR="00DB6824" w:rsidRPr="0075481A" w:rsidRDefault="00DB6824" w:rsidP="00DB6824">
            <w:pPr>
              <w:spacing w:after="0" w:line="240" w:lineRule="auto"/>
              <w:rPr>
                <w:rFonts w:ascii="Times New Roman" w:eastAsia="Times New Roman" w:hAnsi="Times New Roman" w:cs="Times New Roman"/>
              </w:rPr>
            </w:pPr>
          </w:p>
          <w:p w14:paraId="1251F375" w14:textId="77777777" w:rsidR="00DB6824" w:rsidRPr="0075481A" w:rsidRDefault="00DB6824" w:rsidP="00DB6824">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Građevine na gradskom groblju u Puli</w:t>
            </w:r>
          </w:p>
        </w:tc>
        <w:tc>
          <w:tcPr>
            <w:tcW w:w="1701" w:type="dxa"/>
            <w:vAlign w:val="bottom"/>
          </w:tcPr>
          <w:p w14:paraId="29AAA873" w14:textId="448D642C"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136.246,20</w:t>
            </w:r>
          </w:p>
        </w:tc>
        <w:tc>
          <w:tcPr>
            <w:tcW w:w="1701" w:type="dxa"/>
            <w:vAlign w:val="bottom"/>
          </w:tcPr>
          <w:p w14:paraId="200AFBBD" w14:textId="77777777" w:rsidR="00DB6824" w:rsidRPr="0075481A" w:rsidRDefault="00DB6824" w:rsidP="00DB6824">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136.246,20</w:t>
            </w:r>
          </w:p>
        </w:tc>
      </w:tr>
      <w:tr w:rsidR="00DB6824" w:rsidRPr="0075481A" w14:paraId="243DEC2F" w14:textId="77777777" w:rsidTr="00DB6824">
        <w:tc>
          <w:tcPr>
            <w:tcW w:w="5387" w:type="dxa"/>
            <w:vAlign w:val="bottom"/>
          </w:tcPr>
          <w:p w14:paraId="1CA824E7" w14:textId="77777777" w:rsidR="00DB6824" w:rsidRPr="0075481A" w:rsidRDefault="00DB6824" w:rsidP="00DB6824">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Ukupno</w:t>
            </w:r>
          </w:p>
        </w:tc>
        <w:tc>
          <w:tcPr>
            <w:tcW w:w="1701" w:type="dxa"/>
            <w:vAlign w:val="bottom"/>
          </w:tcPr>
          <w:p w14:paraId="7F48D5A1" w14:textId="77777777" w:rsidR="00DB6824" w:rsidRPr="0075481A" w:rsidRDefault="00DB6824" w:rsidP="00DB6824">
            <w:pPr>
              <w:spacing w:after="0" w:line="240" w:lineRule="auto"/>
              <w:jc w:val="right"/>
              <w:rPr>
                <w:rFonts w:ascii="Times New Roman" w:eastAsia="Times New Roman" w:hAnsi="Times New Roman" w:cs="Times New Roman"/>
                <w:b/>
                <w:u w:val="double"/>
              </w:rPr>
            </w:pPr>
          </w:p>
          <w:p w14:paraId="74A6FC93" w14:textId="2838860A" w:rsidR="00DB6824" w:rsidRPr="0075481A" w:rsidRDefault="00DB6824" w:rsidP="00DB6824">
            <w:pPr>
              <w:spacing w:after="0" w:line="240" w:lineRule="auto"/>
              <w:jc w:val="right"/>
              <w:rPr>
                <w:rFonts w:ascii="Times New Roman" w:eastAsia="Times New Roman" w:hAnsi="Times New Roman" w:cs="Times New Roman"/>
                <w:b/>
                <w:u w:val="double"/>
              </w:rPr>
            </w:pPr>
            <w:r w:rsidRPr="0075481A">
              <w:rPr>
                <w:rFonts w:ascii="Times New Roman" w:eastAsia="Times New Roman" w:hAnsi="Times New Roman" w:cs="Times New Roman"/>
                <w:b/>
                <w:u w:val="double"/>
              </w:rPr>
              <w:t>899.177,92</w:t>
            </w:r>
          </w:p>
        </w:tc>
        <w:tc>
          <w:tcPr>
            <w:tcW w:w="1701" w:type="dxa"/>
            <w:vAlign w:val="bottom"/>
          </w:tcPr>
          <w:p w14:paraId="28CA2C35" w14:textId="77777777" w:rsidR="00DB6824" w:rsidRPr="0075481A" w:rsidRDefault="00DB6824" w:rsidP="00DB6824">
            <w:pPr>
              <w:spacing w:after="0" w:line="240" w:lineRule="auto"/>
              <w:jc w:val="right"/>
              <w:rPr>
                <w:rFonts w:ascii="Times New Roman" w:eastAsia="Times New Roman" w:hAnsi="Times New Roman" w:cs="Times New Roman"/>
                <w:b/>
                <w:u w:val="double"/>
              </w:rPr>
            </w:pPr>
          </w:p>
          <w:p w14:paraId="6F0EC239" w14:textId="4A73D09F" w:rsidR="00DB6824" w:rsidRPr="0075481A" w:rsidRDefault="00DB6824" w:rsidP="00890AD6">
            <w:pPr>
              <w:spacing w:after="0" w:line="240" w:lineRule="auto"/>
              <w:jc w:val="right"/>
              <w:rPr>
                <w:rFonts w:ascii="Times New Roman" w:eastAsia="Times New Roman" w:hAnsi="Times New Roman" w:cs="Times New Roman"/>
                <w:b/>
                <w:u w:val="double"/>
              </w:rPr>
            </w:pPr>
            <w:r w:rsidRPr="0075481A">
              <w:rPr>
                <w:rFonts w:ascii="Times New Roman" w:eastAsia="Times New Roman" w:hAnsi="Times New Roman" w:cs="Times New Roman"/>
                <w:b/>
                <w:u w:val="double"/>
              </w:rPr>
              <w:t>899.</w:t>
            </w:r>
            <w:r w:rsidR="00890AD6">
              <w:rPr>
                <w:rFonts w:ascii="Times New Roman" w:eastAsia="Times New Roman" w:hAnsi="Times New Roman" w:cs="Times New Roman"/>
                <w:b/>
                <w:u w:val="double"/>
              </w:rPr>
              <w:t>163,45</w:t>
            </w:r>
          </w:p>
        </w:tc>
      </w:tr>
    </w:tbl>
    <w:p w14:paraId="769A9B11" w14:textId="77777777" w:rsidR="00A81432" w:rsidRPr="0075481A" w:rsidRDefault="00A81432" w:rsidP="00A81432">
      <w:pPr>
        <w:widowControl w:val="0"/>
        <w:spacing w:after="0" w:line="280" w:lineRule="exact"/>
        <w:jc w:val="both"/>
        <w:rPr>
          <w:rFonts w:ascii="Times New Roman" w:eastAsia="Times New Roman" w:hAnsi="Times New Roman" w:cs="Times New Roman"/>
          <w:b/>
        </w:rPr>
      </w:pPr>
    </w:p>
    <w:p w14:paraId="243BCCC5" w14:textId="77777777" w:rsidR="00A81432" w:rsidRPr="0075481A" w:rsidRDefault="00A81432" w:rsidP="00A81432">
      <w:pPr>
        <w:spacing w:after="0" w:line="240" w:lineRule="auto"/>
        <w:jc w:val="right"/>
        <w:rPr>
          <w:rFonts w:ascii="Times New Roman" w:eastAsia="Times New Roman" w:hAnsi="Times New Roman" w:cs="Times New Roman"/>
        </w:rPr>
      </w:pPr>
    </w:p>
    <w:p w14:paraId="252B6321" w14:textId="77777777" w:rsidR="00A81432" w:rsidRPr="0075481A" w:rsidRDefault="00A81432" w:rsidP="00A81432">
      <w:pPr>
        <w:spacing w:after="0" w:line="240" w:lineRule="auto"/>
        <w:jc w:val="both"/>
        <w:rPr>
          <w:rFonts w:ascii="Times New Roman" w:eastAsia="Times New Roman" w:hAnsi="Times New Roman" w:cs="Times New Roman"/>
        </w:rPr>
      </w:pPr>
      <w:r w:rsidRPr="0075481A">
        <w:rPr>
          <w:rFonts w:ascii="Times New Roman" w:eastAsia="Times New Roman" w:hAnsi="Times New Roman" w:cs="Times New Roman"/>
        </w:rPr>
        <w:t>U vanbilančnoj evidenciji iskazana je vrijednost robe primljene u komisiju, te temeljem odredbi Zakona o grobljima ukupna vrijednost zemljišta i zgrada vlasništvo lokalne samouprave koja je dana na upravljanje Društvu.</w:t>
      </w:r>
    </w:p>
    <w:p w14:paraId="7ECCB8FE" w14:textId="77777777" w:rsidR="00A81432" w:rsidRDefault="00A81432" w:rsidP="00A81432">
      <w:pPr>
        <w:spacing w:after="0" w:line="276" w:lineRule="auto"/>
        <w:rPr>
          <w:rFonts w:ascii="Times New Roman" w:eastAsia="Calibri" w:hAnsi="Times New Roman" w:cs="Times New Roman"/>
          <w:b/>
          <w:noProof/>
          <w:color w:val="FF0000"/>
          <w:kern w:val="3"/>
          <w:lang w:eastAsia="hr-HR"/>
        </w:rPr>
      </w:pPr>
    </w:p>
    <w:p w14:paraId="0EE1F72A"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0DD3C8B9"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10C8191B"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6777E79D"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7DFD64D2"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7D11D6FA"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30713D6A"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034DEA72"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580DE7BD"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28800FEF"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53F0083C"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3A78B96B"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446E0C9F"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4CE705EE"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55DB50F4"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0946E259"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7F662228"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0C3950B8"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0DDA63CF" w14:textId="77777777" w:rsidR="00DE3E13" w:rsidRDefault="00DE3E13" w:rsidP="008675AD">
      <w:pPr>
        <w:spacing w:after="0" w:line="276" w:lineRule="auto"/>
        <w:jc w:val="right"/>
        <w:rPr>
          <w:rFonts w:ascii="Times New Roman" w:eastAsia="Calibri" w:hAnsi="Times New Roman" w:cs="Times New Roman"/>
          <w:noProof/>
          <w:kern w:val="3"/>
          <w:lang w:eastAsia="hr-HR"/>
        </w:rPr>
      </w:pPr>
    </w:p>
    <w:p w14:paraId="5F27D035" w14:textId="0C86C05C" w:rsidR="00A81432" w:rsidRPr="002A1944" w:rsidRDefault="00A81432" w:rsidP="008675AD">
      <w:pPr>
        <w:spacing w:after="0" w:line="276" w:lineRule="auto"/>
        <w:jc w:val="right"/>
        <w:rPr>
          <w:rFonts w:ascii="Times New Roman" w:eastAsia="Calibri" w:hAnsi="Times New Roman" w:cs="Times New Roman"/>
          <w:noProof/>
          <w:kern w:val="3"/>
          <w:lang w:eastAsia="hr-HR"/>
        </w:rPr>
      </w:pPr>
      <w:r w:rsidRPr="002A1944">
        <w:rPr>
          <w:rFonts w:ascii="Times New Roman" w:eastAsia="Calibri" w:hAnsi="Times New Roman" w:cs="Times New Roman"/>
          <w:noProof/>
          <w:kern w:val="3"/>
          <w:lang w:eastAsia="hr-HR"/>
        </w:rPr>
        <w:t>10</w:t>
      </w:r>
    </w:p>
    <w:p w14:paraId="7B6893D1" w14:textId="63BA9B70" w:rsidR="00131D13" w:rsidRPr="0075481A" w:rsidRDefault="00131D13" w:rsidP="00763305">
      <w:pPr>
        <w:widowControl w:val="0"/>
        <w:spacing w:after="0" w:line="280" w:lineRule="exact"/>
        <w:rPr>
          <w:rFonts w:ascii="Times New Roman" w:eastAsia="Times New Roman" w:hAnsi="Times New Roman" w:cs="Times New Roman"/>
        </w:rPr>
      </w:pPr>
      <w:r w:rsidRPr="0075481A">
        <w:rPr>
          <w:rFonts w:ascii="Times New Roman" w:eastAsia="Times New Roman" w:hAnsi="Times New Roman" w:cs="Times New Roman"/>
        </w:rPr>
        <w:t xml:space="preserve">                                                                                                                         </w:t>
      </w:r>
    </w:p>
    <w:p w14:paraId="3CA669F0" w14:textId="77777777" w:rsidR="00DB6824" w:rsidRDefault="00DB6824" w:rsidP="00131D13">
      <w:pPr>
        <w:spacing w:after="0" w:line="240" w:lineRule="auto"/>
        <w:jc w:val="both"/>
        <w:rPr>
          <w:rFonts w:ascii="Times New Roman" w:eastAsia="Times New Roman" w:hAnsi="Times New Roman" w:cs="Times New Roman"/>
          <w:b/>
        </w:rPr>
      </w:pPr>
    </w:p>
    <w:p w14:paraId="2A5F7B2C" w14:textId="0828E2C8" w:rsidR="00A16F70" w:rsidRPr="00A80C5E" w:rsidRDefault="00665E67" w:rsidP="00131D13">
      <w:pPr>
        <w:spacing w:after="0" w:line="240" w:lineRule="auto"/>
        <w:jc w:val="both"/>
        <w:rPr>
          <w:rFonts w:ascii="Times New Roman" w:eastAsia="Times New Roman" w:hAnsi="Times New Roman" w:cs="Times New Roman"/>
          <w:b/>
        </w:rPr>
      </w:pPr>
      <w:r w:rsidRPr="00A80C5E">
        <w:rPr>
          <w:rFonts w:ascii="Times New Roman" w:eastAsia="Times New Roman" w:hAnsi="Times New Roman" w:cs="Times New Roman"/>
          <w:b/>
        </w:rPr>
        <w:t>RAČIN DOBITI I GUBITKA</w:t>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r w:rsidR="00131D13" w:rsidRPr="00A80C5E">
        <w:rPr>
          <w:rFonts w:ascii="Times New Roman" w:eastAsia="Times New Roman" w:hAnsi="Times New Roman" w:cs="Times New Roman"/>
        </w:rPr>
        <w:tab/>
      </w:r>
    </w:p>
    <w:p w14:paraId="2C04FDE9" w14:textId="77777777" w:rsidR="00131D13" w:rsidRPr="00A80C5E" w:rsidRDefault="00131D13" w:rsidP="00131D13">
      <w:pPr>
        <w:spacing w:after="0" w:line="240" w:lineRule="auto"/>
        <w:jc w:val="both"/>
        <w:rPr>
          <w:rFonts w:ascii="Times New Roman" w:eastAsia="Times New Roman" w:hAnsi="Times New Roman" w:cs="Times New Roman"/>
          <w:b/>
        </w:rPr>
      </w:pPr>
      <w:r w:rsidRPr="00A80C5E">
        <w:rPr>
          <w:rFonts w:ascii="Times New Roman" w:eastAsia="Times New Roman" w:hAnsi="Times New Roman" w:cs="Times New Roman"/>
          <w:b/>
        </w:rPr>
        <w:tab/>
      </w:r>
    </w:p>
    <w:p w14:paraId="568D8C97" w14:textId="77777777" w:rsidR="00131D13" w:rsidRPr="00A80C5E" w:rsidRDefault="00131D13" w:rsidP="00131D13">
      <w:pPr>
        <w:spacing w:after="0" w:line="240" w:lineRule="auto"/>
        <w:jc w:val="both"/>
        <w:rPr>
          <w:rFonts w:ascii="Times New Roman" w:eastAsia="Times New Roman" w:hAnsi="Times New Roman" w:cs="Times New Roman"/>
          <w:b/>
        </w:rPr>
      </w:pPr>
      <w:r w:rsidRPr="00A80C5E">
        <w:rPr>
          <w:rFonts w:ascii="Times New Roman" w:eastAsia="Times New Roman" w:hAnsi="Times New Roman" w:cs="Times New Roman"/>
          <w:b/>
        </w:rPr>
        <w:t>Bilješka  14. Poslovni prihodi</w:t>
      </w:r>
    </w:p>
    <w:p w14:paraId="0F57587F" w14:textId="77777777" w:rsidR="00131D13" w:rsidRPr="00A80C5E" w:rsidRDefault="00131D13" w:rsidP="00131D13">
      <w:pPr>
        <w:spacing w:after="0" w:line="240" w:lineRule="auto"/>
        <w:jc w:val="both"/>
        <w:rPr>
          <w:rFonts w:ascii="Times New Roman" w:eastAsia="Times New Roman" w:hAnsi="Times New Roman" w:cs="Times New Roman"/>
        </w:rPr>
      </w:pPr>
    </w:p>
    <w:tbl>
      <w:tblPr>
        <w:tblW w:w="8789" w:type="dxa"/>
        <w:tblInd w:w="108" w:type="dxa"/>
        <w:tblLayout w:type="fixed"/>
        <w:tblLook w:val="0000" w:firstRow="0" w:lastRow="0" w:firstColumn="0" w:lastColumn="0" w:noHBand="0" w:noVBand="0"/>
      </w:tblPr>
      <w:tblGrid>
        <w:gridCol w:w="5387"/>
        <w:gridCol w:w="1701"/>
        <w:gridCol w:w="1701"/>
      </w:tblGrid>
      <w:tr w:rsidR="00DB6824" w:rsidRPr="00A80C5E" w14:paraId="48D7E4E0" w14:textId="77777777" w:rsidTr="00DB6824">
        <w:trPr>
          <w:trHeight w:val="288"/>
        </w:trPr>
        <w:tc>
          <w:tcPr>
            <w:tcW w:w="5387" w:type="dxa"/>
            <w:tcBorders>
              <w:bottom w:val="single" w:sz="4" w:space="0" w:color="auto"/>
            </w:tcBorders>
            <w:vAlign w:val="bottom"/>
          </w:tcPr>
          <w:p w14:paraId="24EAB93C" w14:textId="77777777" w:rsidR="00DB6824" w:rsidRPr="00A80C5E" w:rsidRDefault="00DB6824" w:rsidP="00DB6824">
            <w:pPr>
              <w:spacing w:after="0" w:line="240" w:lineRule="auto"/>
              <w:rPr>
                <w:rFonts w:ascii="Times New Roman" w:eastAsia="Times New Roman" w:hAnsi="Times New Roman" w:cs="Times New Roman"/>
                <w:b/>
                <w:bCs/>
                <w:lang w:eastAsia="hr-HR"/>
              </w:rPr>
            </w:pPr>
            <w:r w:rsidRPr="00A80C5E">
              <w:rPr>
                <w:rFonts w:ascii="Times New Roman" w:eastAsia="Times New Roman" w:hAnsi="Times New Roman" w:cs="Times New Roman"/>
                <w:b/>
                <w:bCs/>
                <w:lang w:eastAsia="hr-HR"/>
              </w:rPr>
              <w:t>Naziv pozicija</w:t>
            </w:r>
          </w:p>
        </w:tc>
        <w:tc>
          <w:tcPr>
            <w:tcW w:w="1701" w:type="dxa"/>
            <w:tcBorders>
              <w:bottom w:val="single" w:sz="4" w:space="0" w:color="auto"/>
            </w:tcBorders>
          </w:tcPr>
          <w:p w14:paraId="70A6BEEF" w14:textId="53E102AB" w:rsidR="00DB6824" w:rsidRPr="00A80C5E" w:rsidRDefault="00DB6824" w:rsidP="00DB6824">
            <w:pPr>
              <w:spacing w:after="0" w:line="240" w:lineRule="auto"/>
              <w:jc w:val="right"/>
              <w:rPr>
                <w:rFonts w:ascii="Times New Roman" w:eastAsia="Times New Roman" w:hAnsi="Times New Roman" w:cs="Times New Roman"/>
                <w:b/>
                <w:bCs/>
              </w:rPr>
            </w:pPr>
            <w:r w:rsidRPr="00A80C5E">
              <w:rPr>
                <w:rFonts w:ascii="Times New Roman" w:eastAsia="Times New Roman" w:hAnsi="Times New Roman" w:cs="Times New Roman"/>
                <w:b/>
                <w:bCs/>
              </w:rPr>
              <w:t>2023.</w:t>
            </w:r>
          </w:p>
        </w:tc>
        <w:tc>
          <w:tcPr>
            <w:tcW w:w="1701" w:type="dxa"/>
            <w:tcBorders>
              <w:bottom w:val="single" w:sz="4" w:space="0" w:color="auto"/>
            </w:tcBorders>
          </w:tcPr>
          <w:p w14:paraId="7A7A81F1" w14:textId="07AF4087" w:rsidR="00DB6824" w:rsidRPr="00A80C5E" w:rsidRDefault="00DB6824" w:rsidP="00DB6824">
            <w:pPr>
              <w:spacing w:after="0" w:line="240" w:lineRule="auto"/>
              <w:jc w:val="right"/>
              <w:rPr>
                <w:rFonts w:ascii="Times New Roman" w:eastAsia="Times New Roman" w:hAnsi="Times New Roman" w:cs="Times New Roman"/>
                <w:b/>
                <w:bCs/>
              </w:rPr>
            </w:pPr>
            <w:r w:rsidRPr="00A80C5E">
              <w:rPr>
                <w:rFonts w:ascii="Times New Roman" w:eastAsia="Times New Roman" w:hAnsi="Times New Roman" w:cs="Times New Roman"/>
                <w:b/>
                <w:bCs/>
              </w:rPr>
              <w:t>2024.</w:t>
            </w:r>
          </w:p>
        </w:tc>
      </w:tr>
      <w:tr w:rsidR="00DB6824" w:rsidRPr="00A80C5E" w14:paraId="4B9F5C5E" w14:textId="77777777" w:rsidTr="00DB6824">
        <w:tc>
          <w:tcPr>
            <w:tcW w:w="5387" w:type="dxa"/>
            <w:tcBorders>
              <w:top w:val="single" w:sz="4" w:space="0" w:color="auto"/>
            </w:tcBorders>
            <w:vAlign w:val="bottom"/>
          </w:tcPr>
          <w:p w14:paraId="1D7435A0" w14:textId="77777777" w:rsidR="00DB6824" w:rsidRPr="00A80C5E" w:rsidRDefault="00DB6824" w:rsidP="00DB6824">
            <w:pPr>
              <w:spacing w:after="0" w:line="240" w:lineRule="auto"/>
              <w:rPr>
                <w:rFonts w:ascii="Times New Roman" w:eastAsia="Times New Roman" w:hAnsi="Times New Roman" w:cs="Times New Roman"/>
              </w:rPr>
            </w:pPr>
          </w:p>
          <w:p w14:paraId="0E3A0336" w14:textId="77777777" w:rsidR="00DB6824" w:rsidRPr="00A80C5E" w:rsidRDefault="00DB6824" w:rsidP="00DB6824">
            <w:pPr>
              <w:spacing w:after="0" w:line="240" w:lineRule="auto"/>
              <w:rPr>
                <w:rFonts w:ascii="Times New Roman" w:eastAsia="Times New Roman" w:hAnsi="Times New Roman" w:cs="Times New Roman"/>
              </w:rPr>
            </w:pPr>
            <w:r w:rsidRPr="00A80C5E">
              <w:rPr>
                <w:rFonts w:ascii="Times New Roman" w:eastAsia="Times New Roman" w:hAnsi="Times New Roman" w:cs="Times New Roman"/>
              </w:rPr>
              <w:t xml:space="preserve">Prihodi od prodaje usluga u zemlji </w:t>
            </w:r>
          </w:p>
        </w:tc>
        <w:tc>
          <w:tcPr>
            <w:tcW w:w="1701" w:type="dxa"/>
            <w:tcBorders>
              <w:top w:val="single" w:sz="4" w:space="0" w:color="auto"/>
            </w:tcBorders>
            <w:vAlign w:val="bottom"/>
          </w:tcPr>
          <w:p w14:paraId="091B03A4" w14:textId="7A30499C" w:rsidR="00DB6824" w:rsidRPr="00282F4C" w:rsidRDefault="00DB6824" w:rsidP="00DB6824">
            <w:pPr>
              <w:spacing w:after="0" w:line="240" w:lineRule="auto"/>
              <w:jc w:val="right"/>
              <w:rPr>
                <w:rFonts w:ascii="Times New Roman" w:eastAsia="Times New Roman" w:hAnsi="Times New Roman" w:cs="Times New Roman"/>
              </w:rPr>
            </w:pPr>
            <w:r w:rsidRPr="00282F4C">
              <w:rPr>
                <w:rFonts w:ascii="Times New Roman" w:eastAsia="Times New Roman" w:hAnsi="Times New Roman" w:cs="Times New Roman"/>
              </w:rPr>
              <w:t>857.143,17</w:t>
            </w:r>
          </w:p>
        </w:tc>
        <w:tc>
          <w:tcPr>
            <w:tcW w:w="1701" w:type="dxa"/>
            <w:tcBorders>
              <w:top w:val="single" w:sz="4" w:space="0" w:color="auto"/>
            </w:tcBorders>
            <w:vAlign w:val="bottom"/>
          </w:tcPr>
          <w:p w14:paraId="430255B8" w14:textId="34D67F95" w:rsidR="00DB6824" w:rsidRPr="00282F4C" w:rsidRDefault="008364D3" w:rsidP="00DB6824">
            <w:pPr>
              <w:spacing w:after="0" w:line="240" w:lineRule="auto"/>
              <w:jc w:val="right"/>
              <w:rPr>
                <w:rFonts w:ascii="Times New Roman" w:eastAsia="Times New Roman" w:hAnsi="Times New Roman" w:cs="Times New Roman"/>
              </w:rPr>
            </w:pPr>
            <w:r w:rsidRPr="00282F4C">
              <w:rPr>
                <w:rFonts w:ascii="Times New Roman" w:eastAsia="Times New Roman" w:hAnsi="Times New Roman" w:cs="Times New Roman"/>
              </w:rPr>
              <w:t>1.060.584,46</w:t>
            </w:r>
          </w:p>
        </w:tc>
      </w:tr>
      <w:tr w:rsidR="00DB6824" w:rsidRPr="00A80C5E" w14:paraId="07209DAF" w14:textId="77777777" w:rsidTr="00DB6824">
        <w:tc>
          <w:tcPr>
            <w:tcW w:w="5387" w:type="dxa"/>
            <w:vAlign w:val="bottom"/>
          </w:tcPr>
          <w:p w14:paraId="3BA76AE6" w14:textId="7216AF6C" w:rsidR="00DB6824" w:rsidRPr="00A80C5E" w:rsidRDefault="00DB6824" w:rsidP="00DB6824">
            <w:pPr>
              <w:spacing w:after="0" w:line="240" w:lineRule="auto"/>
              <w:rPr>
                <w:rFonts w:ascii="Times New Roman" w:eastAsia="Times New Roman" w:hAnsi="Times New Roman" w:cs="Times New Roman"/>
              </w:rPr>
            </w:pPr>
          </w:p>
          <w:p w14:paraId="20BCD0D9" w14:textId="77777777" w:rsidR="00DB6824" w:rsidRPr="00A80C5E" w:rsidRDefault="00DB6824" w:rsidP="00DB6824">
            <w:pPr>
              <w:spacing w:after="0" w:line="240" w:lineRule="auto"/>
              <w:rPr>
                <w:rFonts w:ascii="Times New Roman" w:eastAsia="Times New Roman" w:hAnsi="Times New Roman" w:cs="Times New Roman"/>
              </w:rPr>
            </w:pPr>
            <w:r w:rsidRPr="00A80C5E">
              <w:rPr>
                <w:rFonts w:ascii="Times New Roman" w:eastAsia="Times New Roman" w:hAnsi="Times New Roman" w:cs="Times New Roman"/>
              </w:rPr>
              <w:t>Prihodi od prodaje robe u zemlji</w:t>
            </w:r>
          </w:p>
        </w:tc>
        <w:tc>
          <w:tcPr>
            <w:tcW w:w="1701" w:type="dxa"/>
            <w:vAlign w:val="bottom"/>
          </w:tcPr>
          <w:p w14:paraId="53344068" w14:textId="2984F0AA" w:rsidR="00DB6824" w:rsidRPr="00282F4C" w:rsidRDefault="00DB6824" w:rsidP="00DB6824">
            <w:pPr>
              <w:spacing w:after="0" w:line="240" w:lineRule="auto"/>
              <w:jc w:val="right"/>
              <w:rPr>
                <w:rFonts w:ascii="Times New Roman" w:eastAsia="Times New Roman" w:hAnsi="Times New Roman" w:cs="Times New Roman"/>
              </w:rPr>
            </w:pPr>
            <w:r w:rsidRPr="00282F4C">
              <w:rPr>
                <w:rFonts w:ascii="Times New Roman" w:eastAsia="Times New Roman" w:hAnsi="Times New Roman" w:cs="Times New Roman"/>
              </w:rPr>
              <w:t>1.108.980,00</w:t>
            </w:r>
          </w:p>
        </w:tc>
        <w:tc>
          <w:tcPr>
            <w:tcW w:w="1701" w:type="dxa"/>
            <w:vAlign w:val="bottom"/>
          </w:tcPr>
          <w:p w14:paraId="7E2907E3" w14:textId="47F3F127" w:rsidR="00DB6824" w:rsidRPr="00282F4C" w:rsidRDefault="00DB6824" w:rsidP="008364D3">
            <w:pPr>
              <w:spacing w:after="0" w:line="240" w:lineRule="auto"/>
              <w:jc w:val="right"/>
              <w:rPr>
                <w:rFonts w:ascii="Times New Roman" w:eastAsia="Times New Roman" w:hAnsi="Times New Roman" w:cs="Times New Roman"/>
              </w:rPr>
            </w:pPr>
            <w:r w:rsidRPr="00282F4C">
              <w:rPr>
                <w:rFonts w:ascii="Times New Roman" w:eastAsia="Times New Roman" w:hAnsi="Times New Roman" w:cs="Times New Roman"/>
              </w:rPr>
              <w:t>1.10</w:t>
            </w:r>
            <w:r w:rsidR="008364D3" w:rsidRPr="00282F4C">
              <w:rPr>
                <w:rFonts w:ascii="Times New Roman" w:eastAsia="Times New Roman" w:hAnsi="Times New Roman" w:cs="Times New Roman"/>
              </w:rPr>
              <w:t>7.761,84</w:t>
            </w:r>
          </w:p>
        </w:tc>
      </w:tr>
      <w:tr w:rsidR="00DB6824" w:rsidRPr="00A80C5E" w14:paraId="6131188E" w14:textId="77777777" w:rsidTr="00DB6824">
        <w:tc>
          <w:tcPr>
            <w:tcW w:w="5387" w:type="dxa"/>
            <w:vAlign w:val="bottom"/>
          </w:tcPr>
          <w:p w14:paraId="094DECC3" w14:textId="77777777" w:rsidR="00DB6824" w:rsidRPr="00A80C5E" w:rsidRDefault="00DB6824" w:rsidP="00DB6824">
            <w:pPr>
              <w:spacing w:after="0" w:line="240" w:lineRule="auto"/>
              <w:rPr>
                <w:rFonts w:ascii="Times New Roman" w:eastAsia="Times New Roman" w:hAnsi="Times New Roman" w:cs="Times New Roman"/>
              </w:rPr>
            </w:pPr>
          </w:p>
          <w:p w14:paraId="0D80B26F" w14:textId="7E0A12E8" w:rsidR="00DB6824" w:rsidRPr="00A80C5E" w:rsidRDefault="00DB6824" w:rsidP="00DB6824">
            <w:pPr>
              <w:spacing w:after="0" w:line="240" w:lineRule="auto"/>
              <w:rPr>
                <w:rFonts w:ascii="Times New Roman" w:eastAsia="Times New Roman" w:hAnsi="Times New Roman" w:cs="Times New Roman"/>
              </w:rPr>
            </w:pPr>
            <w:r w:rsidRPr="00A80C5E">
              <w:rPr>
                <w:rFonts w:ascii="Times New Roman" w:eastAsia="Times New Roman" w:hAnsi="Times New Roman" w:cs="Times New Roman"/>
              </w:rPr>
              <w:t>Prihodi na temelju uporabe vlastitih proizvoda, robe i usluga</w:t>
            </w:r>
          </w:p>
        </w:tc>
        <w:tc>
          <w:tcPr>
            <w:tcW w:w="1701" w:type="dxa"/>
            <w:vAlign w:val="bottom"/>
          </w:tcPr>
          <w:p w14:paraId="5427F935" w14:textId="6C11817F" w:rsidR="00DB6824" w:rsidRPr="00282F4C" w:rsidRDefault="00DB6824" w:rsidP="00DB6824">
            <w:pPr>
              <w:spacing w:after="0" w:line="240" w:lineRule="auto"/>
              <w:jc w:val="right"/>
              <w:rPr>
                <w:rFonts w:ascii="Times New Roman" w:eastAsia="Times New Roman" w:hAnsi="Times New Roman" w:cs="Times New Roman"/>
              </w:rPr>
            </w:pPr>
            <w:r w:rsidRPr="00282F4C">
              <w:rPr>
                <w:rFonts w:ascii="Times New Roman" w:eastAsia="Times New Roman" w:hAnsi="Times New Roman" w:cs="Times New Roman"/>
              </w:rPr>
              <w:t>3.574,43</w:t>
            </w:r>
          </w:p>
        </w:tc>
        <w:tc>
          <w:tcPr>
            <w:tcW w:w="1701" w:type="dxa"/>
            <w:vAlign w:val="bottom"/>
          </w:tcPr>
          <w:p w14:paraId="3CAD58B6" w14:textId="5BDB7312" w:rsidR="00DB6824" w:rsidRPr="00282F4C" w:rsidRDefault="00344389" w:rsidP="00DB6824">
            <w:pPr>
              <w:spacing w:after="0" w:line="240" w:lineRule="auto"/>
              <w:jc w:val="right"/>
              <w:rPr>
                <w:rFonts w:ascii="Times New Roman" w:eastAsia="Times New Roman" w:hAnsi="Times New Roman" w:cs="Times New Roman"/>
              </w:rPr>
            </w:pPr>
            <w:r w:rsidRPr="00282F4C">
              <w:rPr>
                <w:rFonts w:ascii="Times New Roman" w:eastAsia="Times New Roman" w:hAnsi="Times New Roman" w:cs="Times New Roman"/>
              </w:rPr>
              <w:t>37.493,48</w:t>
            </w:r>
          </w:p>
        </w:tc>
      </w:tr>
      <w:tr w:rsidR="00DB6824" w:rsidRPr="00A80C5E" w14:paraId="261F2626" w14:textId="77777777" w:rsidTr="00DB6824">
        <w:trPr>
          <w:trHeight w:val="432"/>
        </w:trPr>
        <w:tc>
          <w:tcPr>
            <w:tcW w:w="5387" w:type="dxa"/>
            <w:vAlign w:val="bottom"/>
          </w:tcPr>
          <w:p w14:paraId="53E020DA" w14:textId="77777777" w:rsidR="00DB6824" w:rsidRPr="00A80C5E" w:rsidRDefault="00DB6824" w:rsidP="00DB6824">
            <w:pPr>
              <w:spacing w:after="0" w:line="240" w:lineRule="auto"/>
              <w:rPr>
                <w:rFonts w:ascii="Times New Roman" w:eastAsia="Times New Roman" w:hAnsi="Times New Roman" w:cs="Times New Roman"/>
              </w:rPr>
            </w:pPr>
          </w:p>
          <w:p w14:paraId="3387E2A4" w14:textId="58592FAC" w:rsidR="00DB6824" w:rsidRPr="00A80C5E" w:rsidRDefault="00DB6824" w:rsidP="00DB6824">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rPr>
              <w:t>Ostali  prihodi</w:t>
            </w:r>
          </w:p>
        </w:tc>
        <w:tc>
          <w:tcPr>
            <w:tcW w:w="1701" w:type="dxa"/>
            <w:vAlign w:val="bottom"/>
          </w:tcPr>
          <w:p w14:paraId="689B007D" w14:textId="76A1D9DF" w:rsidR="00DB6824" w:rsidRPr="00A80C5E" w:rsidRDefault="00DB6824" w:rsidP="00DB6824">
            <w:pPr>
              <w:spacing w:after="0" w:line="240" w:lineRule="auto"/>
              <w:jc w:val="right"/>
              <w:rPr>
                <w:rFonts w:ascii="Times New Roman" w:eastAsia="Times New Roman" w:hAnsi="Times New Roman" w:cs="Times New Roman"/>
                <w:b/>
                <w:u w:val="double"/>
              </w:rPr>
            </w:pPr>
            <w:r w:rsidRPr="00A80C5E">
              <w:rPr>
                <w:rFonts w:ascii="Times New Roman" w:eastAsia="Times New Roman" w:hAnsi="Times New Roman" w:cs="Times New Roman"/>
              </w:rPr>
              <w:t>50.610,91</w:t>
            </w:r>
          </w:p>
        </w:tc>
        <w:tc>
          <w:tcPr>
            <w:tcW w:w="1701" w:type="dxa"/>
            <w:vAlign w:val="bottom"/>
          </w:tcPr>
          <w:p w14:paraId="60332BAB" w14:textId="29E98A73" w:rsidR="00DB6824" w:rsidRPr="00A80C5E" w:rsidRDefault="00344389" w:rsidP="00DB6824">
            <w:pPr>
              <w:spacing w:after="0" w:line="240" w:lineRule="auto"/>
              <w:jc w:val="right"/>
              <w:rPr>
                <w:rFonts w:ascii="Times New Roman" w:eastAsia="Times New Roman" w:hAnsi="Times New Roman" w:cs="Times New Roman"/>
                <w:u w:val="double"/>
              </w:rPr>
            </w:pPr>
            <w:r w:rsidRPr="00A80C5E">
              <w:rPr>
                <w:rFonts w:ascii="Times New Roman" w:eastAsia="Times New Roman" w:hAnsi="Times New Roman" w:cs="Times New Roman"/>
              </w:rPr>
              <w:t>55.024,60</w:t>
            </w:r>
          </w:p>
        </w:tc>
      </w:tr>
      <w:tr w:rsidR="00DB6824" w:rsidRPr="00A80C5E" w14:paraId="1D86AD05" w14:textId="77777777" w:rsidTr="00DB6824">
        <w:trPr>
          <w:trHeight w:val="432"/>
        </w:trPr>
        <w:tc>
          <w:tcPr>
            <w:tcW w:w="5387" w:type="dxa"/>
            <w:vAlign w:val="bottom"/>
          </w:tcPr>
          <w:p w14:paraId="0D8FD384" w14:textId="633C1E64" w:rsidR="00DB6824" w:rsidRPr="00A80C5E" w:rsidRDefault="00DB6824" w:rsidP="00DB6824">
            <w:pPr>
              <w:spacing w:after="0" w:line="240" w:lineRule="auto"/>
              <w:rPr>
                <w:rFonts w:ascii="Times New Roman" w:eastAsia="Times New Roman" w:hAnsi="Times New Roman" w:cs="Times New Roman"/>
                <w:b/>
              </w:rPr>
            </w:pPr>
          </w:p>
        </w:tc>
        <w:tc>
          <w:tcPr>
            <w:tcW w:w="1701" w:type="dxa"/>
            <w:vAlign w:val="bottom"/>
          </w:tcPr>
          <w:p w14:paraId="376EBDC4" w14:textId="77777777" w:rsidR="00DB6824" w:rsidRPr="00A80C5E" w:rsidRDefault="00DB6824" w:rsidP="00DB6824">
            <w:pPr>
              <w:spacing w:after="0" w:line="240" w:lineRule="auto"/>
              <w:jc w:val="right"/>
              <w:rPr>
                <w:rFonts w:ascii="Times New Roman" w:eastAsia="Times New Roman" w:hAnsi="Times New Roman" w:cs="Times New Roman"/>
                <w:b/>
                <w:u w:val="double"/>
              </w:rPr>
            </w:pPr>
          </w:p>
        </w:tc>
        <w:tc>
          <w:tcPr>
            <w:tcW w:w="1701" w:type="dxa"/>
            <w:vAlign w:val="bottom"/>
          </w:tcPr>
          <w:p w14:paraId="087577EE" w14:textId="77777777" w:rsidR="00DB6824" w:rsidRPr="00A80C5E" w:rsidRDefault="00DB6824" w:rsidP="00DB6824">
            <w:pPr>
              <w:spacing w:after="0" w:line="240" w:lineRule="auto"/>
              <w:jc w:val="right"/>
              <w:rPr>
                <w:rFonts w:ascii="Times New Roman" w:eastAsia="Times New Roman" w:hAnsi="Times New Roman" w:cs="Times New Roman"/>
                <w:b/>
                <w:u w:val="double"/>
              </w:rPr>
            </w:pPr>
          </w:p>
        </w:tc>
      </w:tr>
      <w:tr w:rsidR="00DB6824" w:rsidRPr="00A80C5E" w14:paraId="6D17E1F1" w14:textId="77777777" w:rsidTr="00DB6824">
        <w:trPr>
          <w:trHeight w:val="432"/>
        </w:trPr>
        <w:tc>
          <w:tcPr>
            <w:tcW w:w="5387" w:type="dxa"/>
            <w:vAlign w:val="bottom"/>
          </w:tcPr>
          <w:p w14:paraId="1E565FBD" w14:textId="5B4ABBEC" w:rsidR="00DB6824" w:rsidRPr="00A80C5E" w:rsidRDefault="00DB6824" w:rsidP="00DB6824">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t>Ukupno</w:t>
            </w:r>
          </w:p>
        </w:tc>
        <w:tc>
          <w:tcPr>
            <w:tcW w:w="1701" w:type="dxa"/>
            <w:vAlign w:val="bottom"/>
          </w:tcPr>
          <w:p w14:paraId="07B598EA" w14:textId="0D91D672" w:rsidR="00DB6824" w:rsidRPr="00A80C5E" w:rsidRDefault="00DB6824" w:rsidP="008364D3">
            <w:pPr>
              <w:spacing w:after="0" w:line="240" w:lineRule="auto"/>
              <w:jc w:val="right"/>
              <w:rPr>
                <w:rFonts w:ascii="Times New Roman" w:eastAsia="Times New Roman" w:hAnsi="Times New Roman" w:cs="Times New Roman"/>
                <w:b/>
                <w:u w:val="double"/>
              </w:rPr>
            </w:pPr>
            <w:r w:rsidRPr="00A80C5E">
              <w:rPr>
                <w:rFonts w:ascii="Times New Roman" w:eastAsia="Times New Roman" w:hAnsi="Times New Roman" w:cs="Times New Roman"/>
                <w:b/>
                <w:u w:val="double"/>
              </w:rPr>
              <w:t>2.020.308,51</w:t>
            </w:r>
          </w:p>
        </w:tc>
        <w:tc>
          <w:tcPr>
            <w:tcW w:w="1701" w:type="dxa"/>
            <w:vAlign w:val="bottom"/>
          </w:tcPr>
          <w:p w14:paraId="077D4DA2" w14:textId="1B8D0549" w:rsidR="00DB6824" w:rsidRPr="00A80C5E" w:rsidRDefault="00DB6824" w:rsidP="008364D3">
            <w:pPr>
              <w:spacing w:after="0" w:line="240" w:lineRule="auto"/>
              <w:jc w:val="right"/>
              <w:rPr>
                <w:rFonts w:ascii="Times New Roman" w:eastAsia="Times New Roman" w:hAnsi="Times New Roman" w:cs="Times New Roman"/>
                <w:b/>
                <w:u w:val="double"/>
              </w:rPr>
            </w:pPr>
            <w:r w:rsidRPr="00A80C5E">
              <w:rPr>
                <w:rFonts w:ascii="Times New Roman" w:eastAsia="Times New Roman" w:hAnsi="Times New Roman" w:cs="Times New Roman"/>
                <w:b/>
                <w:u w:val="double"/>
              </w:rPr>
              <w:t>2.</w:t>
            </w:r>
            <w:r w:rsidR="008364D3" w:rsidRPr="00A80C5E">
              <w:rPr>
                <w:rFonts w:ascii="Times New Roman" w:eastAsia="Times New Roman" w:hAnsi="Times New Roman" w:cs="Times New Roman"/>
                <w:b/>
                <w:u w:val="double"/>
              </w:rPr>
              <w:t>260.864,38</w:t>
            </w:r>
          </w:p>
        </w:tc>
      </w:tr>
    </w:tbl>
    <w:p w14:paraId="14075048" w14:textId="77777777" w:rsidR="00131D13" w:rsidRPr="00A80C5E" w:rsidRDefault="00131D13" w:rsidP="00131D13">
      <w:pPr>
        <w:autoSpaceDE w:val="0"/>
        <w:autoSpaceDN w:val="0"/>
        <w:adjustRightInd w:val="0"/>
        <w:spacing w:after="0" w:line="240" w:lineRule="auto"/>
        <w:jc w:val="both"/>
        <w:rPr>
          <w:rFonts w:ascii="Times New Roman" w:eastAsia="Calibri" w:hAnsi="Times New Roman" w:cs="Times New Roman"/>
          <w:b/>
          <w:bCs/>
          <w:color w:val="17365D"/>
        </w:rPr>
      </w:pPr>
    </w:p>
    <w:p w14:paraId="0A2E1440" w14:textId="77777777" w:rsidR="001B4644" w:rsidRPr="00A80C5E" w:rsidRDefault="001B4644" w:rsidP="001B4644">
      <w:pPr>
        <w:spacing w:after="0" w:line="276" w:lineRule="auto"/>
        <w:contextualSpacing/>
        <w:jc w:val="both"/>
        <w:rPr>
          <w:rFonts w:ascii="Times New Roman" w:eastAsia="Times New Roman" w:hAnsi="Times New Roman" w:cs="Times New Roman"/>
          <w:b/>
          <w:noProof/>
        </w:rPr>
      </w:pPr>
      <w:r w:rsidRPr="00A80C5E">
        <w:rPr>
          <w:rFonts w:ascii="Times New Roman" w:eastAsia="Times New Roman" w:hAnsi="Times New Roman" w:cs="Times New Roman"/>
          <w:b/>
          <w:noProof/>
        </w:rPr>
        <w:t>Poslovni prihodi</w:t>
      </w:r>
    </w:p>
    <w:p w14:paraId="2F138DC2" w14:textId="5093C284" w:rsidR="008364D3" w:rsidRPr="00A80C5E" w:rsidRDefault="008364D3" w:rsidP="008364D3">
      <w:pPr>
        <w:autoSpaceDE w:val="0"/>
        <w:autoSpaceDN w:val="0"/>
        <w:adjustRightInd w:val="0"/>
        <w:spacing w:after="0" w:line="276" w:lineRule="auto"/>
        <w:jc w:val="both"/>
        <w:rPr>
          <w:rFonts w:ascii="Times New Roman" w:eastAsia="Calibri" w:hAnsi="Times New Roman" w:cs="Times New Roman"/>
          <w:bCs/>
        </w:rPr>
      </w:pPr>
      <w:r w:rsidRPr="00A80C5E">
        <w:rPr>
          <w:rFonts w:ascii="Times New Roman" w:eastAsia="Calibri" w:hAnsi="Times New Roman" w:cs="Times New Roman"/>
          <w:b/>
          <w:bCs/>
        </w:rPr>
        <w:t xml:space="preserve">Poslovni prihodi </w:t>
      </w:r>
      <w:r w:rsidRPr="00A80C5E">
        <w:rPr>
          <w:rFonts w:ascii="Times New Roman" w:eastAsia="Calibri" w:hAnsi="Times New Roman" w:cs="Times New Roman"/>
          <w:bCs/>
        </w:rPr>
        <w:t>ostvareni su u iznosu od 2.2</w:t>
      </w:r>
      <w:r w:rsidR="00282F4C">
        <w:rPr>
          <w:rFonts w:ascii="Times New Roman" w:eastAsia="Calibri" w:hAnsi="Times New Roman" w:cs="Times New Roman"/>
          <w:bCs/>
        </w:rPr>
        <w:t>60.864,38</w:t>
      </w:r>
      <w:r w:rsidRPr="00A80C5E">
        <w:rPr>
          <w:rFonts w:ascii="Times New Roman" w:eastAsia="Calibri" w:hAnsi="Times New Roman" w:cs="Times New Roman"/>
          <w:bCs/>
        </w:rPr>
        <w:t xml:space="preserve"> EUR što je za 12% više u odnosu na prethodnu godinu. Najznačajniji prihodi jesu prihodi od prodaje robe (djelatnost trgovine i davanje grobnih mjesta za korištenje na neodređeno vrijeme) na koje se odnosi udio od 49% poslovnih prihoda, a slijede prihodi od prodaje proizvoda i usluga (pogrebne usluge i održavanje groblja) na koje se odnosi udio </w:t>
      </w:r>
      <w:r w:rsidR="00282F4C">
        <w:rPr>
          <w:rFonts w:ascii="Times New Roman" w:eastAsia="Calibri" w:hAnsi="Times New Roman" w:cs="Times New Roman"/>
          <w:bCs/>
        </w:rPr>
        <w:t>o</w:t>
      </w:r>
      <w:r w:rsidRPr="00A80C5E">
        <w:rPr>
          <w:rFonts w:ascii="Times New Roman" w:eastAsia="Calibri" w:hAnsi="Times New Roman" w:cs="Times New Roman"/>
          <w:bCs/>
        </w:rPr>
        <w:t>d 4</w:t>
      </w:r>
      <w:r w:rsidR="00282F4C">
        <w:rPr>
          <w:rFonts w:ascii="Times New Roman" w:eastAsia="Calibri" w:hAnsi="Times New Roman" w:cs="Times New Roman"/>
          <w:bCs/>
        </w:rPr>
        <w:t>7</w:t>
      </w:r>
      <w:r w:rsidRPr="00A80C5E">
        <w:rPr>
          <w:rFonts w:ascii="Times New Roman" w:eastAsia="Calibri" w:hAnsi="Times New Roman" w:cs="Times New Roman"/>
          <w:bCs/>
        </w:rPr>
        <w:t>% poslovnih prihoda.</w:t>
      </w:r>
    </w:p>
    <w:p w14:paraId="1C32088C" w14:textId="77777777" w:rsidR="008364D3" w:rsidRPr="00A80C5E" w:rsidRDefault="008364D3" w:rsidP="008364D3">
      <w:pPr>
        <w:spacing w:after="0" w:line="276" w:lineRule="auto"/>
        <w:jc w:val="both"/>
        <w:rPr>
          <w:rFonts w:ascii="Times New Roman" w:eastAsia="Calibri" w:hAnsi="Times New Roman" w:cs="Times New Roman"/>
          <w:bCs/>
        </w:rPr>
      </w:pPr>
    </w:p>
    <w:p w14:paraId="467EA625" w14:textId="28E5D393" w:rsidR="008364D3" w:rsidRPr="00A80C5E" w:rsidRDefault="008364D3" w:rsidP="008364D3">
      <w:pPr>
        <w:spacing w:after="0" w:line="276" w:lineRule="auto"/>
        <w:jc w:val="both"/>
        <w:rPr>
          <w:rFonts w:ascii="Times New Roman" w:eastAsia="Calibri" w:hAnsi="Times New Roman" w:cs="Times New Roman"/>
          <w:bCs/>
        </w:rPr>
      </w:pPr>
      <w:r w:rsidRPr="00A80C5E">
        <w:rPr>
          <w:rFonts w:ascii="Times New Roman" w:eastAsia="Calibri" w:hAnsi="Times New Roman" w:cs="Times New Roman"/>
          <w:bCs/>
        </w:rPr>
        <w:t>Prihodi od prodaje proizvoda i usluga u visini od 1.0</w:t>
      </w:r>
      <w:r w:rsidR="00282F4C">
        <w:rPr>
          <w:rFonts w:ascii="Times New Roman" w:eastAsia="Calibri" w:hAnsi="Times New Roman" w:cs="Times New Roman"/>
          <w:bCs/>
        </w:rPr>
        <w:t>60.584,46</w:t>
      </w:r>
      <w:r w:rsidRPr="00A80C5E">
        <w:rPr>
          <w:rFonts w:ascii="Times New Roman" w:eastAsia="Calibri" w:hAnsi="Times New Roman" w:cs="Times New Roman"/>
          <w:bCs/>
        </w:rPr>
        <w:t xml:space="preserve"> EUR bilježe rast od 2</w:t>
      </w:r>
      <w:r w:rsidR="00282F4C">
        <w:rPr>
          <w:rFonts w:ascii="Times New Roman" w:eastAsia="Calibri" w:hAnsi="Times New Roman" w:cs="Times New Roman"/>
          <w:bCs/>
        </w:rPr>
        <w:t>4</w:t>
      </w:r>
      <w:r w:rsidRPr="00A80C5E">
        <w:rPr>
          <w:rFonts w:ascii="Times New Roman" w:eastAsia="Calibri" w:hAnsi="Times New Roman" w:cs="Times New Roman"/>
          <w:bCs/>
        </w:rPr>
        <w:t>% u odnosu na 2023. godinu i u cijelom se iznosu odnose na prihode od pružanja usluga, točnije pogrebnih usluga i usluga održavanja groblja. Na povećanje ove skupine prihoda utjecalo je promjena cjenika iz ožujka 2023. godine,  povećanje sredstava za održavanje groblja u iznosu od 76.000</w:t>
      </w:r>
      <w:r w:rsidR="00282F4C">
        <w:rPr>
          <w:rFonts w:ascii="Times New Roman" w:eastAsia="Calibri" w:hAnsi="Times New Roman" w:cs="Times New Roman"/>
          <w:bCs/>
        </w:rPr>
        <w:t>,00</w:t>
      </w:r>
      <w:r w:rsidRPr="00A80C5E">
        <w:rPr>
          <w:rFonts w:ascii="Times New Roman" w:eastAsia="Calibri" w:hAnsi="Times New Roman" w:cs="Times New Roman"/>
          <w:bCs/>
        </w:rPr>
        <w:t xml:space="preserve"> EUR bez PDV-a temeljem  </w:t>
      </w:r>
      <w:proofErr w:type="spellStart"/>
      <w:r w:rsidRPr="00A80C5E">
        <w:rPr>
          <w:rFonts w:ascii="Times New Roman" w:eastAsia="Calibri" w:hAnsi="Times New Roman" w:cs="Times New Roman"/>
          <w:bCs/>
        </w:rPr>
        <w:t>Anex</w:t>
      </w:r>
      <w:proofErr w:type="spellEnd"/>
      <w:r w:rsidRPr="00A80C5E">
        <w:rPr>
          <w:rFonts w:ascii="Times New Roman" w:eastAsia="Calibri" w:hAnsi="Times New Roman" w:cs="Times New Roman"/>
          <w:bCs/>
        </w:rPr>
        <w:t xml:space="preserve"> I Ugovora za obavljanje komunalne djelatnosti održavanja groblja Grada Pule i Društva, te udio prihoda s osnove uporabe proizvoda i usluga za vlastite potrebe. </w:t>
      </w:r>
    </w:p>
    <w:p w14:paraId="03B8B7A1" w14:textId="7C39CBD1" w:rsidR="008364D3" w:rsidRPr="00A80C5E" w:rsidRDefault="008364D3" w:rsidP="008364D3">
      <w:pPr>
        <w:spacing w:after="0" w:line="276" w:lineRule="auto"/>
        <w:jc w:val="both"/>
        <w:rPr>
          <w:rFonts w:ascii="Times New Roman" w:eastAsia="Calibri" w:hAnsi="Times New Roman" w:cs="Times New Roman"/>
          <w:bCs/>
        </w:rPr>
      </w:pPr>
      <w:r w:rsidRPr="00A80C5E">
        <w:rPr>
          <w:rFonts w:ascii="Times New Roman" w:eastAsia="Calibri" w:hAnsi="Times New Roman" w:cs="Times New Roman"/>
          <w:bCs/>
        </w:rPr>
        <w:t>Prihodi od prodaje robe (1.107.76</w:t>
      </w:r>
      <w:r w:rsidR="00282F4C">
        <w:rPr>
          <w:rFonts w:ascii="Times New Roman" w:eastAsia="Calibri" w:hAnsi="Times New Roman" w:cs="Times New Roman"/>
          <w:bCs/>
        </w:rPr>
        <w:t>1,84</w:t>
      </w:r>
      <w:r w:rsidRPr="00A80C5E">
        <w:rPr>
          <w:rFonts w:ascii="Times New Roman" w:eastAsia="Calibri" w:hAnsi="Times New Roman" w:cs="Times New Roman"/>
          <w:bCs/>
        </w:rPr>
        <w:t xml:space="preserve"> EUR) obuhvaćaju prihode od trgovine (7</w:t>
      </w:r>
      <w:r w:rsidR="00282F4C">
        <w:rPr>
          <w:rFonts w:ascii="Times New Roman" w:eastAsia="Calibri" w:hAnsi="Times New Roman" w:cs="Times New Roman"/>
          <w:bCs/>
        </w:rPr>
        <w:t>73.453,34</w:t>
      </w:r>
      <w:r w:rsidRPr="00A80C5E">
        <w:rPr>
          <w:rFonts w:ascii="Times New Roman" w:eastAsia="Calibri" w:hAnsi="Times New Roman" w:cs="Times New Roman"/>
          <w:bCs/>
        </w:rPr>
        <w:t xml:space="preserve"> EUR) koji bilježe povećanje  od 5% u odnosu prethodnu godinu. Pozicija </w:t>
      </w:r>
      <w:r w:rsidRPr="00A80C5E">
        <w:rPr>
          <w:rFonts w:ascii="Times New Roman" w:eastAsia="Calibri" w:hAnsi="Times New Roman" w:cs="Times New Roman"/>
          <w:bCs/>
          <w:i/>
        </w:rPr>
        <w:t xml:space="preserve">prihodi od prodaje robe </w:t>
      </w:r>
      <w:r w:rsidRPr="00A80C5E">
        <w:rPr>
          <w:rFonts w:ascii="Times New Roman" w:eastAsia="Calibri" w:hAnsi="Times New Roman" w:cs="Times New Roman"/>
          <w:bCs/>
        </w:rPr>
        <w:t xml:space="preserve"> uključuje i davanje grobnih mjesta na korištenje na neodređeno vrijeme (334.308</w:t>
      </w:r>
      <w:r w:rsidR="00282F4C">
        <w:rPr>
          <w:rFonts w:ascii="Times New Roman" w:eastAsia="Calibri" w:hAnsi="Times New Roman" w:cs="Times New Roman"/>
          <w:bCs/>
        </w:rPr>
        <w:t>,50</w:t>
      </w:r>
      <w:r w:rsidRPr="00A80C5E">
        <w:rPr>
          <w:rFonts w:ascii="Times New Roman" w:eastAsia="Calibri" w:hAnsi="Times New Roman" w:cs="Times New Roman"/>
          <w:bCs/>
        </w:rPr>
        <w:t xml:space="preserve"> EUR) i bilježi pad od 7%  u odnosu na 2023. godinu. </w:t>
      </w:r>
    </w:p>
    <w:p w14:paraId="5D714D78" w14:textId="44E17610" w:rsidR="00A81432" w:rsidRPr="00A81432" w:rsidRDefault="00A81432" w:rsidP="00A81432">
      <w:pPr>
        <w:jc w:val="right"/>
        <w:rPr>
          <w:rFonts w:ascii="Times New Roman" w:eastAsia="Times New Roman" w:hAnsi="Times New Roman" w:cs="Times New Roman"/>
        </w:rPr>
      </w:pPr>
    </w:p>
    <w:p w14:paraId="2390BC05" w14:textId="180A941D" w:rsidR="00763305" w:rsidRPr="00A80C5E" w:rsidRDefault="004A7418" w:rsidP="00ED4AED">
      <w:pPr>
        <w:jc w:val="both"/>
        <w:rPr>
          <w:rFonts w:ascii="Times New Roman" w:eastAsia="Times New Roman" w:hAnsi="Times New Roman" w:cs="Times New Roman"/>
          <w:b/>
        </w:rPr>
      </w:pPr>
      <w:r w:rsidRPr="00A80C5E">
        <w:rPr>
          <w:rFonts w:ascii="Times New Roman" w:eastAsia="Times New Roman" w:hAnsi="Times New Roman" w:cs="Times New Roman"/>
          <w:b/>
        </w:rPr>
        <w:t xml:space="preserve">Bilješka 15. </w:t>
      </w:r>
      <w:r w:rsidR="00763305" w:rsidRPr="00A80C5E">
        <w:rPr>
          <w:rFonts w:ascii="Times New Roman" w:eastAsia="Times New Roman" w:hAnsi="Times New Roman" w:cs="Times New Roman"/>
          <w:b/>
        </w:rPr>
        <w:t>Ostali poslovni prihodi</w:t>
      </w:r>
    </w:p>
    <w:p w14:paraId="687B5C37" w14:textId="1C6E7C84" w:rsidR="001B4644" w:rsidRPr="00A80C5E" w:rsidRDefault="001B4644" w:rsidP="00F75C09">
      <w:pPr>
        <w:jc w:val="both"/>
        <w:rPr>
          <w:rFonts w:ascii="Times New Roman" w:eastAsia="Calibri" w:hAnsi="Times New Roman" w:cs="Times New Roman"/>
          <w:bCs/>
          <w:i/>
        </w:rPr>
      </w:pPr>
      <w:r w:rsidRPr="00A80C5E">
        <w:rPr>
          <w:rFonts w:ascii="Times New Roman" w:eastAsia="Calibri" w:hAnsi="Times New Roman" w:cs="Times New Roman"/>
          <w:b/>
          <w:bCs/>
        </w:rPr>
        <w:t xml:space="preserve">Ostali </w:t>
      </w:r>
      <w:r w:rsidR="0082278B" w:rsidRPr="00A80C5E">
        <w:rPr>
          <w:rFonts w:ascii="Times New Roman" w:eastAsia="Calibri" w:hAnsi="Times New Roman" w:cs="Times New Roman"/>
          <w:b/>
          <w:bCs/>
        </w:rPr>
        <w:t xml:space="preserve">poslovni </w:t>
      </w:r>
      <w:r w:rsidRPr="00A80C5E">
        <w:rPr>
          <w:rFonts w:ascii="Times New Roman" w:eastAsia="Calibri" w:hAnsi="Times New Roman" w:cs="Times New Roman"/>
          <w:b/>
          <w:bCs/>
        </w:rPr>
        <w:t>prihodi</w:t>
      </w:r>
      <w:r w:rsidR="00F75C09" w:rsidRPr="00A80C5E">
        <w:rPr>
          <w:rFonts w:ascii="Times New Roman" w:eastAsia="Calibri" w:hAnsi="Times New Roman" w:cs="Times New Roman"/>
          <w:b/>
          <w:bCs/>
        </w:rPr>
        <w:t xml:space="preserve"> </w:t>
      </w:r>
      <w:r w:rsidR="00F75C09" w:rsidRPr="00A80C5E">
        <w:rPr>
          <w:rFonts w:ascii="Times New Roman" w:eastAsia="Calibri" w:hAnsi="Times New Roman" w:cs="Times New Roman"/>
          <w:bCs/>
        </w:rPr>
        <w:t>u visini od (</w:t>
      </w:r>
      <w:r w:rsidR="007E4B82" w:rsidRPr="00A80C5E">
        <w:rPr>
          <w:rFonts w:ascii="Times New Roman" w:eastAsia="Calibri" w:hAnsi="Times New Roman" w:cs="Times New Roman"/>
          <w:bCs/>
        </w:rPr>
        <w:t>5</w:t>
      </w:r>
      <w:r w:rsidR="008364D3" w:rsidRPr="00A80C5E">
        <w:rPr>
          <w:rFonts w:ascii="Times New Roman" w:eastAsia="Calibri" w:hAnsi="Times New Roman" w:cs="Times New Roman"/>
          <w:bCs/>
        </w:rPr>
        <w:t>5.024,60</w:t>
      </w:r>
      <w:r w:rsidR="007E4B82" w:rsidRPr="00A80C5E">
        <w:rPr>
          <w:rFonts w:ascii="Times New Roman" w:eastAsia="Calibri" w:hAnsi="Times New Roman" w:cs="Times New Roman"/>
          <w:bCs/>
        </w:rPr>
        <w:t xml:space="preserve"> EUR</w:t>
      </w:r>
      <w:r w:rsidR="00F75C09" w:rsidRPr="00A80C5E">
        <w:rPr>
          <w:rFonts w:ascii="Times New Roman" w:eastAsia="Calibri" w:hAnsi="Times New Roman" w:cs="Times New Roman"/>
          <w:bCs/>
        </w:rPr>
        <w:t>) podrazumijevaju prihode od prodaje dugotrajne materijalne i nematerijalne imovine (</w:t>
      </w:r>
      <w:r w:rsidR="002E5DB8" w:rsidRPr="00A80C5E">
        <w:rPr>
          <w:rFonts w:ascii="Times New Roman" w:eastAsia="Calibri" w:hAnsi="Times New Roman" w:cs="Times New Roman"/>
          <w:bCs/>
        </w:rPr>
        <w:t>30,00</w:t>
      </w:r>
      <w:r w:rsidR="00125755" w:rsidRPr="00A80C5E">
        <w:rPr>
          <w:rFonts w:ascii="Times New Roman" w:eastAsia="Calibri" w:hAnsi="Times New Roman" w:cs="Times New Roman"/>
          <w:bCs/>
        </w:rPr>
        <w:t xml:space="preserve"> EUR</w:t>
      </w:r>
      <w:r w:rsidR="00F75C09" w:rsidRPr="00A80C5E">
        <w:rPr>
          <w:rFonts w:ascii="Times New Roman" w:eastAsia="Calibri" w:hAnsi="Times New Roman" w:cs="Times New Roman"/>
          <w:bCs/>
        </w:rPr>
        <w:t>), utvrđenih viškova (</w:t>
      </w:r>
      <w:r w:rsidR="002E5DB8" w:rsidRPr="00A80C5E">
        <w:rPr>
          <w:rFonts w:ascii="Times New Roman" w:eastAsia="Calibri" w:hAnsi="Times New Roman" w:cs="Times New Roman"/>
          <w:bCs/>
        </w:rPr>
        <w:t>3.160,16</w:t>
      </w:r>
      <w:r w:rsidR="00125755" w:rsidRPr="00A80C5E">
        <w:rPr>
          <w:rFonts w:ascii="Times New Roman" w:eastAsia="Calibri" w:hAnsi="Times New Roman" w:cs="Times New Roman"/>
          <w:bCs/>
        </w:rPr>
        <w:t xml:space="preserve"> EUR</w:t>
      </w:r>
      <w:r w:rsidR="00F75C09" w:rsidRPr="00A80C5E">
        <w:rPr>
          <w:rFonts w:ascii="Times New Roman" w:eastAsia="Calibri" w:hAnsi="Times New Roman" w:cs="Times New Roman"/>
          <w:bCs/>
        </w:rPr>
        <w:t>), naplaćenih, prethodno otpisanih potraživanja (</w:t>
      </w:r>
      <w:r w:rsidR="002E5DB8" w:rsidRPr="00A80C5E">
        <w:rPr>
          <w:rFonts w:ascii="Times New Roman" w:eastAsia="Calibri" w:hAnsi="Times New Roman" w:cs="Times New Roman"/>
          <w:bCs/>
        </w:rPr>
        <w:t>13.685,20</w:t>
      </w:r>
      <w:r w:rsidR="00125755" w:rsidRPr="00A80C5E">
        <w:rPr>
          <w:rFonts w:ascii="Times New Roman" w:eastAsia="Calibri" w:hAnsi="Times New Roman" w:cs="Times New Roman"/>
          <w:bCs/>
        </w:rPr>
        <w:t xml:space="preserve"> EUR</w:t>
      </w:r>
      <w:r w:rsidR="00F75C09" w:rsidRPr="00A80C5E">
        <w:rPr>
          <w:rFonts w:ascii="Times New Roman" w:eastAsia="Calibri" w:hAnsi="Times New Roman" w:cs="Times New Roman"/>
          <w:bCs/>
        </w:rPr>
        <w:t xml:space="preserve">), </w:t>
      </w:r>
      <w:r w:rsidR="00125755" w:rsidRPr="00A80C5E">
        <w:rPr>
          <w:rFonts w:ascii="Times New Roman" w:eastAsia="Calibri" w:hAnsi="Times New Roman" w:cs="Times New Roman"/>
          <w:bCs/>
        </w:rPr>
        <w:t>prihodi od ukidanja rezerviranja (</w:t>
      </w:r>
      <w:r w:rsidR="002E5DB8" w:rsidRPr="00A80C5E">
        <w:rPr>
          <w:rFonts w:ascii="Times New Roman" w:eastAsia="Calibri" w:hAnsi="Times New Roman" w:cs="Times New Roman"/>
          <w:bCs/>
        </w:rPr>
        <w:t>20.654,92</w:t>
      </w:r>
      <w:r w:rsidR="00125755" w:rsidRPr="00A80C5E">
        <w:rPr>
          <w:rFonts w:ascii="Times New Roman" w:eastAsia="Calibri" w:hAnsi="Times New Roman" w:cs="Times New Roman"/>
          <w:bCs/>
        </w:rPr>
        <w:t xml:space="preserve"> EUR)</w:t>
      </w:r>
      <w:r w:rsidR="00F75C09" w:rsidRPr="00A80C5E">
        <w:rPr>
          <w:rFonts w:ascii="Times New Roman" w:eastAsia="Calibri" w:hAnsi="Times New Roman" w:cs="Times New Roman"/>
          <w:bCs/>
        </w:rPr>
        <w:t xml:space="preserve">, </w:t>
      </w:r>
      <w:r w:rsidR="0082278B" w:rsidRPr="00A80C5E">
        <w:rPr>
          <w:rFonts w:ascii="Times New Roman" w:eastAsia="Calibri" w:hAnsi="Times New Roman" w:cs="Times New Roman"/>
          <w:bCs/>
        </w:rPr>
        <w:t xml:space="preserve"> te prihodi od subvencija (</w:t>
      </w:r>
      <w:r w:rsidR="002E5DB8" w:rsidRPr="00A80C5E">
        <w:rPr>
          <w:rFonts w:ascii="Times New Roman" w:eastAsia="Calibri" w:hAnsi="Times New Roman" w:cs="Times New Roman"/>
          <w:bCs/>
        </w:rPr>
        <w:t>17.494,32</w:t>
      </w:r>
      <w:r w:rsidR="00125755" w:rsidRPr="00A80C5E">
        <w:rPr>
          <w:rFonts w:ascii="Times New Roman" w:eastAsia="Calibri" w:hAnsi="Times New Roman" w:cs="Times New Roman"/>
          <w:bCs/>
        </w:rPr>
        <w:t xml:space="preserve"> EUR</w:t>
      </w:r>
      <w:r w:rsidR="0082278B" w:rsidRPr="00A80C5E">
        <w:rPr>
          <w:rFonts w:ascii="Times New Roman" w:eastAsia="Calibri" w:hAnsi="Times New Roman" w:cs="Times New Roman"/>
          <w:bCs/>
        </w:rPr>
        <w:t>)</w:t>
      </w:r>
      <w:r w:rsidRPr="00A80C5E">
        <w:rPr>
          <w:rFonts w:ascii="Times New Roman" w:eastAsia="Calibri" w:hAnsi="Times New Roman" w:cs="Times New Roman"/>
          <w:bCs/>
        </w:rPr>
        <w:t xml:space="preserve">. </w:t>
      </w:r>
    </w:p>
    <w:p w14:paraId="55AB899A" w14:textId="08EA00F7" w:rsidR="002E5DB8" w:rsidRPr="00A80C5E" w:rsidRDefault="00DE3E13" w:rsidP="00DE3E13">
      <w:pPr>
        <w:spacing w:after="0" w:line="240" w:lineRule="auto"/>
        <w:jc w:val="right"/>
        <w:rPr>
          <w:rFonts w:ascii="Times New Roman" w:eastAsia="Times New Roman" w:hAnsi="Times New Roman" w:cs="Times New Roman"/>
        </w:rPr>
      </w:pPr>
      <w:r w:rsidRPr="00A80C5E">
        <w:rPr>
          <w:rFonts w:ascii="Times New Roman" w:eastAsia="Times New Roman" w:hAnsi="Times New Roman" w:cs="Times New Roman"/>
        </w:rPr>
        <w:t>11</w:t>
      </w:r>
    </w:p>
    <w:p w14:paraId="6595206A" w14:textId="77777777" w:rsidR="00A80C5E" w:rsidRDefault="00A80C5E" w:rsidP="00131D13">
      <w:pPr>
        <w:spacing w:after="0" w:line="240" w:lineRule="auto"/>
        <w:rPr>
          <w:rFonts w:ascii="Times New Roman" w:eastAsia="Times New Roman" w:hAnsi="Times New Roman" w:cs="Times New Roman"/>
          <w:b/>
        </w:rPr>
      </w:pPr>
    </w:p>
    <w:p w14:paraId="1145E0CA" w14:textId="77777777" w:rsidR="003F6907" w:rsidRDefault="003F6907" w:rsidP="00131D13">
      <w:pPr>
        <w:spacing w:after="0" w:line="240" w:lineRule="auto"/>
        <w:rPr>
          <w:rFonts w:ascii="Times New Roman" w:eastAsia="Times New Roman" w:hAnsi="Times New Roman" w:cs="Times New Roman"/>
          <w:b/>
        </w:rPr>
      </w:pPr>
    </w:p>
    <w:p w14:paraId="30B4E98E" w14:textId="59F5CFFE" w:rsidR="00131D13" w:rsidRPr="00A80C5E" w:rsidRDefault="00131D13" w:rsidP="00131D13">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lastRenderedPageBreak/>
        <w:t>Bilješka 1</w:t>
      </w:r>
      <w:r w:rsidR="00137795" w:rsidRPr="00A80C5E">
        <w:rPr>
          <w:rFonts w:ascii="Times New Roman" w:eastAsia="Times New Roman" w:hAnsi="Times New Roman" w:cs="Times New Roman"/>
          <w:b/>
        </w:rPr>
        <w:t>6</w:t>
      </w:r>
      <w:r w:rsidRPr="00A80C5E">
        <w:rPr>
          <w:rFonts w:ascii="Times New Roman" w:eastAsia="Times New Roman" w:hAnsi="Times New Roman" w:cs="Times New Roman"/>
          <w:b/>
        </w:rPr>
        <w:t>.</w:t>
      </w:r>
      <w:r w:rsidR="00763305" w:rsidRPr="00A80C5E">
        <w:rPr>
          <w:rFonts w:ascii="Times New Roman" w:eastAsia="Times New Roman" w:hAnsi="Times New Roman" w:cs="Times New Roman"/>
          <w:b/>
        </w:rPr>
        <w:t xml:space="preserve"> </w:t>
      </w:r>
      <w:r w:rsidRPr="00A80C5E">
        <w:rPr>
          <w:rFonts w:ascii="Times New Roman" w:eastAsia="Times New Roman" w:hAnsi="Times New Roman" w:cs="Times New Roman"/>
          <w:b/>
        </w:rPr>
        <w:t>Troškovi sirovina i materijala</w:t>
      </w:r>
    </w:p>
    <w:p w14:paraId="4B935EE5" w14:textId="77777777" w:rsidR="00763305" w:rsidRPr="00A80C5E" w:rsidRDefault="00763305" w:rsidP="00131D13">
      <w:pPr>
        <w:spacing w:after="0" w:line="240" w:lineRule="auto"/>
        <w:rPr>
          <w:rFonts w:ascii="Times New Roman" w:eastAsia="Times New Roman" w:hAnsi="Times New Roman" w:cs="Times New Roman"/>
          <w:b/>
        </w:rPr>
      </w:pPr>
    </w:p>
    <w:p w14:paraId="03099F17" w14:textId="03A7A712" w:rsidR="00131D13" w:rsidRPr="00A80C5E" w:rsidRDefault="00AA324E" w:rsidP="00131D13">
      <w:pPr>
        <w:spacing w:after="0" w:line="240" w:lineRule="auto"/>
        <w:rPr>
          <w:rFonts w:ascii="Times New Roman" w:eastAsia="Times New Roman" w:hAnsi="Times New Roman" w:cs="Times New Roman"/>
          <w:b/>
        </w:rPr>
      </w:pPr>
      <w:r w:rsidRPr="00A80C5E">
        <w:rPr>
          <w:rFonts w:ascii="Times New Roman" w:eastAsia="Calibri" w:hAnsi="Times New Roman" w:cs="Times New Roman"/>
          <w:b/>
          <w:bCs/>
        </w:rPr>
        <w:t>Materijalni troškovi</w:t>
      </w:r>
      <w:r w:rsidRPr="00A80C5E">
        <w:rPr>
          <w:rFonts w:ascii="Times New Roman" w:eastAsia="Calibri" w:hAnsi="Times New Roman" w:cs="Times New Roman"/>
        </w:rPr>
        <w:t xml:space="preserve"> na kraju 202</w:t>
      </w:r>
      <w:r w:rsidR="00F851E7" w:rsidRPr="00A80C5E">
        <w:rPr>
          <w:rFonts w:ascii="Times New Roman" w:eastAsia="Calibri" w:hAnsi="Times New Roman" w:cs="Times New Roman"/>
        </w:rPr>
        <w:t>4</w:t>
      </w:r>
      <w:r w:rsidRPr="00A80C5E">
        <w:rPr>
          <w:rFonts w:ascii="Times New Roman" w:eastAsia="Calibri" w:hAnsi="Times New Roman" w:cs="Times New Roman"/>
        </w:rPr>
        <w:t xml:space="preserve">. godine iznosili su </w:t>
      </w:r>
      <w:r w:rsidR="00DE0D72" w:rsidRPr="00A80C5E">
        <w:rPr>
          <w:rFonts w:ascii="Times New Roman" w:eastAsia="Calibri" w:hAnsi="Times New Roman" w:cs="Times New Roman"/>
        </w:rPr>
        <w:t>1.</w:t>
      </w:r>
      <w:r w:rsidR="00F851E7" w:rsidRPr="00A80C5E">
        <w:rPr>
          <w:rFonts w:ascii="Times New Roman" w:eastAsia="Calibri" w:hAnsi="Times New Roman" w:cs="Times New Roman"/>
        </w:rPr>
        <w:t>155.342,84</w:t>
      </w:r>
      <w:r w:rsidRPr="00A80C5E">
        <w:rPr>
          <w:rFonts w:ascii="Times New Roman" w:eastAsia="Calibri" w:hAnsi="Times New Roman" w:cs="Times New Roman"/>
        </w:rPr>
        <w:t xml:space="preserve"> EUR što predstavlja povećanje od </w:t>
      </w:r>
      <w:r w:rsidR="00F851E7" w:rsidRPr="00A80C5E">
        <w:rPr>
          <w:rFonts w:ascii="Times New Roman" w:eastAsia="Calibri" w:hAnsi="Times New Roman" w:cs="Times New Roman"/>
        </w:rPr>
        <w:t>6</w:t>
      </w:r>
      <w:r w:rsidRPr="00A80C5E">
        <w:rPr>
          <w:rFonts w:ascii="Times New Roman" w:eastAsia="Calibri" w:hAnsi="Times New Roman" w:cs="Times New Roman"/>
        </w:rPr>
        <w:t xml:space="preserve">% u odnosu na prethodnu godinu zbog većih troškova </w:t>
      </w:r>
      <w:r w:rsidR="00F851E7" w:rsidRPr="00A80C5E">
        <w:rPr>
          <w:rFonts w:ascii="Times New Roman" w:eastAsia="Calibri" w:hAnsi="Times New Roman" w:cs="Times New Roman"/>
        </w:rPr>
        <w:t>sirovina i materijala, te ostalih vanjskih troškova.</w:t>
      </w:r>
      <w:r w:rsidRPr="00A80C5E">
        <w:rPr>
          <w:rFonts w:ascii="Times New Roman" w:eastAsia="Calibri" w:hAnsi="Times New Roman" w:cs="Times New Roman"/>
        </w:rPr>
        <w:t xml:space="preserve"> Na poziciji utrošeni materijal i sirovine u osnovnoj djelatnosti bilježi </w:t>
      </w:r>
      <w:r w:rsidR="00F851E7" w:rsidRPr="00A80C5E">
        <w:rPr>
          <w:rFonts w:ascii="Times New Roman" w:eastAsia="Calibri" w:hAnsi="Times New Roman" w:cs="Times New Roman"/>
        </w:rPr>
        <w:t xml:space="preserve">rast </w:t>
      </w:r>
      <w:r w:rsidRPr="00A80C5E">
        <w:rPr>
          <w:rFonts w:ascii="Times New Roman" w:eastAsia="Calibri" w:hAnsi="Times New Roman" w:cs="Times New Roman"/>
        </w:rPr>
        <w:t xml:space="preserve">od </w:t>
      </w:r>
      <w:r w:rsidR="00DE0D72" w:rsidRPr="00A80C5E">
        <w:rPr>
          <w:rFonts w:ascii="Times New Roman" w:eastAsia="Calibri" w:hAnsi="Times New Roman" w:cs="Times New Roman"/>
        </w:rPr>
        <w:t>1</w:t>
      </w:r>
      <w:r w:rsidR="00F851E7" w:rsidRPr="00A80C5E">
        <w:rPr>
          <w:rFonts w:ascii="Times New Roman" w:eastAsia="Calibri" w:hAnsi="Times New Roman" w:cs="Times New Roman"/>
        </w:rPr>
        <w:t>1</w:t>
      </w:r>
      <w:r w:rsidRPr="00A80C5E">
        <w:rPr>
          <w:rFonts w:ascii="Times New Roman" w:eastAsia="Calibri" w:hAnsi="Times New Roman" w:cs="Times New Roman"/>
        </w:rPr>
        <w:t xml:space="preserve"> %, a odnosi se na nabavnu vrijednost prodane pogrebne opreme za sahranu pokojnika. </w:t>
      </w:r>
    </w:p>
    <w:p w14:paraId="5717A84A" w14:textId="77777777" w:rsidR="008675AD" w:rsidRPr="00A80C5E" w:rsidRDefault="008675AD" w:rsidP="00131D13">
      <w:pPr>
        <w:spacing w:after="0" w:line="240" w:lineRule="auto"/>
        <w:rPr>
          <w:rFonts w:ascii="Times New Roman" w:eastAsia="Times New Roman" w:hAnsi="Times New Roman" w:cs="Times New Roman"/>
          <w:b/>
        </w:rPr>
      </w:pPr>
    </w:p>
    <w:p w14:paraId="7F122113" w14:textId="564CA183" w:rsidR="00131D13" w:rsidRPr="00A80C5E" w:rsidRDefault="00131D13" w:rsidP="00131D13">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rPr>
        <w:t xml:space="preserve"> </w:t>
      </w:r>
      <w:r w:rsidRPr="00A80C5E">
        <w:rPr>
          <w:rFonts w:ascii="Times New Roman" w:eastAsia="Times New Roman" w:hAnsi="Times New Roman" w:cs="Times New Roman"/>
          <w:b/>
        </w:rPr>
        <w:t>Bilješka 1</w:t>
      </w:r>
      <w:r w:rsidR="00DE0D72" w:rsidRPr="00A80C5E">
        <w:rPr>
          <w:rFonts w:ascii="Times New Roman" w:eastAsia="Times New Roman" w:hAnsi="Times New Roman" w:cs="Times New Roman"/>
          <w:b/>
        </w:rPr>
        <w:t>7</w:t>
      </w:r>
      <w:r w:rsidRPr="00A80C5E">
        <w:rPr>
          <w:rFonts w:ascii="Times New Roman" w:eastAsia="Times New Roman" w:hAnsi="Times New Roman" w:cs="Times New Roman"/>
          <w:b/>
        </w:rPr>
        <w:t>. Ostali vanjski troškovi</w:t>
      </w:r>
    </w:p>
    <w:p w14:paraId="758BD175" w14:textId="77777777" w:rsidR="00131D13" w:rsidRPr="00A80C5E" w:rsidRDefault="00131D13" w:rsidP="00131D13">
      <w:pPr>
        <w:spacing w:after="0" w:line="240" w:lineRule="auto"/>
        <w:rPr>
          <w:rFonts w:ascii="Times New Roman" w:eastAsia="Times New Roman" w:hAnsi="Times New Roman" w:cs="Times New Roman"/>
        </w:rPr>
      </w:pPr>
    </w:p>
    <w:p w14:paraId="0FEF6394" w14:textId="3EA88251" w:rsidR="00131D13" w:rsidRPr="00A80C5E" w:rsidRDefault="00131D13" w:rsidP="00131D13">
      <w:pPr>
        <w:spacing w:after="0" w:line="240" w:lineRule="auto"/>
        <w:rPr>
          <w:rFonts w:ascii="Times New Roman" w:eastAsia="Times New Roman" w:hAnsi="Times New Roman" w:cs="Times New Roman"/>
        </w:rPr>
      </w:pPr>
      <w:r w:rsidRPr="00A80C5E">
        <w:rPr>
          <w:rFonts w:ascii="Times New Roman" w:eastAsia="Times New Roman" w:hAnsi="Times New Roman" w:cs="Times New Roman"/>
          <w:b/>
          <w:bCs/>
        </w:rPr>
        <w:t>Ostali vanjski troškovi</w:t>
      </w:r>
      <w:r w:rsidRPr="00A80C5E">
        <w:rPr>
          <w:rFonts w:ascii="Times New Roman" w:eastAsia="Times New Roman" w:hAnsi="Times New Roman" w:cs="Times New Roman"/>
        </w:rPr>
        <w:t xml:space="preserve"> iznose u 20</w:t>
      </w:r>
      <w:r w:rsidR="008C1B1B" w:rsidRPr="00A80C5E">
        <w:rPr>
          <w:rFonts w:ascii="Times New Roman" w:eastAsia="Times New Roman" w:hAnsi="Times New Roman" w:cs="Times New Roman"/>
        </w:rPr>
        <w:t>2</w:t>
      </w:r>
      <w:r w:rsidR="00BD0CAF" w:rsidRPr="00A80C5E">
        <w:rPr>
          <w:rFonts w:ascii="Times New Roman" w:eastAsia="Times New Roman" w:hAnsi="Times New Roman" w:cs="Times New Roman"/>
        </w:rPr>
        <w:t>4</w:t>
      </w:r>
      <w:r w:rsidRPr="00A80C5E">
        <w:rPr>
          <w:rFonts w:ascii="Times New Roman" w:eastAsia="Times New Roman" w:hAnsi="Times New Roman" w:cs="Times New Roman"/>
        </w:rPr>
        <w:t xml:space="preserve">. godini  </w:t>
      </w:r>
      <w:r w:rsidR="00BD0CAF" w:rsidRPr="00A80C5E">
        <w:rPr>
          <w:rFonts w:ascii="Times New Roman" w:eastAsia="Times New Roman" w:hAnsi="Times New Roman" w:cs="Times New Roman"/>
        </w:rPr>
        <w:t xml:space="preserve">348.219,63 </w:t>
      </w:r>
      <w:r w:rsidR="00DE0D72" w:rsidRPr="00A80C5E">
        <w:rPr>
          <w:rFonts w:ascii="Times New Roman" w:eastAsia="Times New Roman" w:hAnsi="Times New Roman" w:cs="Times New Roman"/>
        </w:rPr>
        <w:t>EUR</w:t>
      </w:r>
      <w:r w:rsidRPr="00A80C5E">
        <w:rPr>
          <w:rFonts w:ascii="Times New Roman" w:eastAsia="Times New Roman" w:hAnsi="Times New Roman" w:cs="Times New Roman"/>
        </w:rPr>
        <w:t>, sljedeće strukture</w:t>
      </w:r>
    </w:p>
    <w:p w14:paraId="78649F3B" w14:textId="77777777" w:rsidR="00485D29" w:rsidRPr="00A80C5E" w:rsidRDefault="00485D29" w:rsidP="00131D13">
      <w:pPr>
        <w:spacing w:after="0" w:line="240" w:lineRule="auto"/>
        <w:rPr>
          <w:rFonts w:ascii="Times New Roman" w:eastAsia="Times New Roman" w:hAnsi="Times New Roman" w:cs="Times New Roman"/>
        </w:rPr>
      </w:pPr>
    </w:p>
    <w:tbl>
      <w:tblPr>
        <w:tblStyle w:val="Tablicareetke2-isticanje3"/>
        <w:tblW w:w="0" w:type="auto"/>
        <w:tblLook w:val="04A0" w:firstRow="1" w:lastRow="0" w:firstColumn="1" w:lastColumn="0" w:noHBand="0" w:noVBand="1"/>
      </w:tblPr>
      <w:tblGrid>
        <w:gridCol w:w="4253"/>
        <w:gridCol w:w="1696"/>
        <w:gridCol w:w="1564"/>
        <w:gridCol w:w="882"/>
      </w:tblGrid>
      <w:tr w:rsidR="00485D29" w:rsidRPr="00A80C5E" w14:paraId="1CEB1ACA" w14:textId="77777777" w:rsidTr="00EB3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7D7DD3E" w14:textId="0A7A2DC8" w:rsidR="00485D29" w:rsidRPr="00A80C5E" w:rsidRDefault="00485D29" w:rsidP="00803BE9">
            <w:pPr>
              <w:spacing w:line="276" w:lineRule="auto"/>
              <w:contextualSpacing/>
              <w:rPr>
                <w:rFonts w:ascii="Times New Roman" w:eastAsia="Calibri" w:hAnsi="Times New Roman" w:cs="Times New Roman"/>
                <w:bCs w:val="0"/>
              </w:rPr>
            </w:pPr>
            <w:r w:rsidRPr="00A80C5E">
              <w:rPr>
                <w:rFonts w:ascii="Times New Roman" w:eastAsia="Calibri" w:hAnsi="Times New Roman" w:cs="Times New Roman"/>
                <w:bCs w:val="0"/>
              </w:rPr>
              <w:t>Naziv pozicije</w:t>
            </w:r>
          </w:p>
        </w:tc>
        <w:tc>
          <w:tcPr>
            <w:tcW w:w="1696" w:type="dxa"/>
          </w:tcPr>
          <w:p w14:paraId="330412E7" w14:textId="749190D3" w:rsidR="00485D29" w:rsidRPr="00A80C5E" w:rsidRDefault="00485D29" w:rsidP="00F851E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A80C5E">
              <w:rPr>
                <w:rFonts w:ascii="Times New Roman" w:eastAsia="Calibri" w:hAnsi="Times New Roman" w:cs="Times New Roman"/>
                <w:bCs w:val="0"/>
              </w:rPr>
              <w:t>Stanje na 31.12.20</w:t>
            </w:r>
            <w:r w:rsidR="00E57841" w:rsidRPr="00A80C5E">
              <w:rPr>
                <w:rFonts w:ascii="Times New Roman" w:eastAsia="Calibri" w:hAnsi="Times New Roman" w:cs="Times New Roman"/>
                <w:bCs w:val="0"/>
              </w:rPr>
              <w:t>2</w:t>
            </w:r>
            <w:r w:rsidR="00F851E7" w:rsidRPr="00A80C5E">
              <w:rPr>
                <w:rFonts w:ascii="Times New Roman" w:eastAsia="Calibri" w:hAnsi="Times New Roman" w:cs="Times New Roman"/>
                <w:bCs w:val="0"/>
              </w:rPr>
              <w:t>3</w:t>
            </w:r>
            <w:r w:rsidRPr="00A80C5E">
              <w:rPr>
                <w:rFonts w:ascii="Times New Roman" w:eastAsia="Calibri" w:hAnsi="Times New Roman" w:cs="Times New Roman"/>
                <w:bCs w:val="0"/>
              </w:rPr>
              <w:t>.</w:t>
            </w:r>
          </w:p>
        </w:tc>
        <w:tc>
          <w:tcPr>
            <w:tcW w:w="1564" w:type="dxa"/>
          </w:tcPr>
          <w:p w14:paraId="007AD019" w14:textId="1E105261" w:rsidR="00485D29" w:rsidRPr="00A80C5E" w:rsidRDefault="00485D29" w:rsidP="00F851E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A80C5E">
              <w:rPr>
                <w:rFonts w:ascii="Times New Roman" w:eastAsia="Calibri" w:hAnsi="Times New Roman" w:cs="Times New Roman"/>
                <w:bCs w:val="0"/>
              </w:rPr>
              <w:t>Stanje na 31.12.202</w:t>
            </w:r>
            <w:r w:rsidR="00F851E7" w:rsidRPr="00A80C5E">
              <w:rPr>
                <w:rFonts w:ascii="Times New Roman" w:eastAsia="Calibri" w:hAnsi="Times New Roman" w:cs="Times New Roman"/>
                <w:bCs w:val="0"/>
              </w:rPr>
              <w:t>4</w:t>
            </w:r>
            <w:r w:rsidRPr="00A80C5E">
              <w:rPr>
                <w:rFonts w:ascii="Times New Roman" w:eastAsia="Calibri" w:hAnsi="Times New Roman" w:cs="Times New Roman"/>
                <w:bCs w:val="0"/>
              </w:rPr>
              <w:t>.</w:t>
            </w:r>
          </w:p>
        </w:tc>
        <w:tc>
          <w:tcPr>
            <w:tcW w:w="882" w:type="dxa"/>
          </w:tcPr>
          <w:p w14:paraId="028E01E3" w14:textId="77777777" w:rsidR="00485D29" w:rsidRPr="00A80C5E" w:rsidRDefault="00485D29" w:rsidP="00803BE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A80C5E">
              <w:rPr>
                <w:rFonts w:ascii="Times New Roman" w:eastAsia="Calibri" w:hAnsi="Times New Roman" w:cs="Times New Roman"/>
                <w:bCs w:val="0"/>
              </w:rPr>
              <w:t>IND</w:t>
            </w:r>
          </w:p>
        </w:tc>
      </w:tr>
      <w:tr w:rsidR="00F851E7" w:rsidRPr="00A80C5E" w14:paraId="4AB4C809"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026F74A3" w14:textId="30D80649"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prijevoza i telekomunikacije</w:t>
            </w:r>
          </w:p>
        </w:tc>
        <w:tc>
          <w:tcPr>
            <w:tcW w:w="1696" w:type="dxa"/>
          </w:tcPr>
          <w:p w14:paraId="08DA53B8" w14:textId="46F336E1" w:rsidR="00F851E7" w:rsidRPr="00A80C5E" w:rsidRDefault="00F851E7"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19.288,22</w:t>
            </w:r>
          </w:p>
        </w:tc>
        <w:tc>
          <w:tcPr>
            <w:tcW w:w="1564" w:type="dxa"/>
          </w:tcPr>
          <w:p w14:paraId="3ACA620C" w14:textId="06359F9A" w:rsidR="00F851E7" w:rsidRPr="00A80C5E" w:rsidRDefault="00BD0CAF"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23.589,60</w:t>
            </w:r>
          </w:p>
        </w:tc>
        <w:tc>
          <w:tcPr>
            <w:tcW w:w="882" w:type="dxa"/>
          </w:tcPr>
          <w:p w14:paraId="01202EEC" w14:textId="21750FFD" w:rsidR="00F851E7" w:rsidRPr="00A80C5E" w:rsidRDefault="004E50C8"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122</w:t>
            </w:r>
          </w:p>
        </w:tc>
      </w:tr>
      <w:tr w:rsidR="00F851E7" w:rsidRPr="00A80C5E" w14:paraId="7AB8D8FD"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146AD2DF" w14:textId="6C564119"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vanjskih usluga pri izradi proizvoda</w:t>
            </w:r>
          </w:p>
        </w:tc>
        <w:tc>
          <w:tcPr>
            <w:tcW w:w="1696" w:type="dxa"/>
          </w:tcPr>
          <w:p w14:paraId="61286C88" w14:textId="7341889B" w:rsidR="00F851E7" w:rsidRPr="00A80C5E" w:rsidRDefault="00F851E7"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18.264,35</w:t>
            </w:r>
          </w:p>
        </w:tc>
        <w:tc>
          <w:tcPr>
            <w:tcW w:w="1564" w:type="dxa"/>
          </w:tcPr>
          <w:p w14:paraId="66D88E19" w14:textId="45CBEF04" w:rsidR="00F851E7" w:rsidRPr="00A80C5E" w:rsidRDefault="00BD0CAF"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22.836,95</w:t>
            </w:r>
          </w:p>
        </w:tc>
        <w:tc>
          <w:tcPr>
            <w:tcW w:w="882" w:type="dxa"/>
          </w:tcPr>
          <w:p w14:paraId="1CD0361E" w14:textId="22F31FE6" w:rsidR="00F851E7" w:rsidRPr="00A80C5E" w:rsidRDefault="004E50C8"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125</w:t>
            </w:r>
          </w:p>
        </w:tc>
      </w:tr>
      <w:tr w:rsidR="00F851E7" w:rsidRPr="00A80C5E" w14:paraId="3DF7BC53"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06955AD" w14:textId="48854968"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usluga održavanja</w:t>
            </w:r>
          </w:p>
        </w:tc>
        <w:tc>
          <w:tcPr>
            <w:tcW w:w="1696" w:type="dxa"/>
          </w:tcPr>
          <w:p w14:paraId="040899C1" w14:textId="2EC458B8" w:rsidR="00F851E7" w:rsidRPr="00A80C5E" w:rsidRDefault="00F851E7"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72.024,15</w:t>
            </w:r>
          </w:p>
        </w:tc>
        <w:tc>
          <w:tcPr>
            <w:tcW w:w="1564" w:type="dxa"/>
          </w:tcPr>
          <w:p w14:paraId="58FF34AA" w14:textId="4F9F700B" w:rsidR="00F851E7" w:rsidRPr="00A80C5E" w:rsidRDefault="00BD0CAF"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96.425,50</w:t>
            </w:r>
          </w:p>
        </w:tc>
        <w:tc>
          <w:tcPr>
            <w:tcW w:w="882" w:type="dxa"/>
          </w:tcPr>
          <w:p w14:paraId="51943666" w14:textId="641B7CDD" w:rsidR="00F851E7" w:rsidRPr="00A80C5E" w:rsidRDefault="004E50C8"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134</w:t>
            </w:r>
          </w:p>
        </w:tc>
      </w:tr>
      <w:tr w:rsidR="00F851E7" w:rsidRPr="00A80C5E" w14:paraId="2DA9C3B8"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4008AC0" w14:textId="52BFC891"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zakupnina i najamnina</w:t>
            </w:r>
          </w:p>
        </w:tc>
        <w:tc>
          <w:tcPr>
            <w:tcW w:w="1696" w:type="dxa"/>
          </w:tcPr>
          <w:p w14:paraId="03D7D659" w14:textId="4BD49835" w:rsidR="00F851E7" w:rsidRPr="00A80C5E" w:rsidRDefault="00F851E7"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6.103,02</w:t>
            </w:r>
          </w:p>
        </w:tc>
        <w:tc>
          <w:tcPr>
            <w:tcW w:w="1564" w:type="dxa"/>
          </w:tcPr>
          <w:p w14:paraId="0A46CBB5" w14:textId="0BA51A37" w:rsidR="00F851E7" w:rsidRPr="00A80C5E" w:rsidRDefault="00BD0CAF"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3.009,40</w:t>
            </w:r>
          </w:p>
        </w:tc>
        <w:tc>
          <w:tcPr>
            <w:tcW w:w="882" w:type="dxa"/>
          </w:tcPr>
          <w:p w14:paraId="59019B25" w14:textId="0D9220FA" w:rsidR="00F851E7" w:rsidRPr="00A80C5E" w:rsidRDefault="004E50C8"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49</w:t>
            </w:r>
          </w:p>
        </w:tc>
      </w:tr>
      <w:tr w:rsidR="00F851E7" w:rsidRPr="00A80C5E" w14:paraId="5DE04CD6"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505716BD" w14:textId="54AB7F9B"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promidžbe</w:t>
            </w:r>
          </w:p>
        </w:tc>
        <w:tc>
          <w:tcPr>
            <w:tcW w:w="1696" w:type="dxa"/>
          </w:tcPr>
          <w:p w14:paraId="38102362" w14:textId="6C4873E2" w:rsidR="00F851E7" w:rsidRPr="00A80C5E" w:rsidRDefault="00F851E7"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3.065,11</w:t>
            </w:r>
          </w:p>
        </w:tc>
        <w:tc>
          <w:tcPr>
            <w:tcW w:w="1564" w:type="dxa"/>
          </w:tcPr>
          <w:p w14:paraId="5E2A2E75" w14:textId="694D7394" w:rsidR="00F851E7" w:rsidRPr="00A80C5E" w:rsidRDefault="00BD0CAF"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14.912,72</w:t>
            </w:r>
          </w:p>
        </w:tc>
        <w:tc>
          <w:tcPr>
            <w:tcW w:w="882" w:type="dxa"/>
          </w:tcPr>
          <w:p w14:paraId="13451FC4" w14:textId="3A07BF82" w:rsidR="00F851E7" w:rsidRPr="00A80C5E" w:rsidRDefault="004E50C8"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487</w:t>
            </w:r>
          </w:p>
        </w:tc>
      </w:tr>
      <w:tr w:rsidR="00F851E7" w:rsidRPr="00A80C5E" w14:paraId="06DC3094"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11D17448" w14:textId="7222367E"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intelektualnih usluga</w:t>
            </w:r>
          </w:p>
        </w:tc>
        <w:tc>
          <w:tcPr>
            <w:tcW w:w="1696" w:type="dxa"/>
          </w:tcPr>
          <w:p w14:paraId="2B66B231" w14:textId="3B1F3E39" w:rsidR="00F851E7" w:rsidRPr="00A80C5E" w:rsidRDefault="00F851E7"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14.081,04</w:t>
            </w:r>
          </w:p>
        </w:tc>
        <w:tc>
          <w:tcPr>
            <w:tcW w:w="1564" w:type="dxa"/>
          </w:tcPr>
          <w:p w14:paraId="1DCED8F2" w14:textId="660631F9" w:rsidR="00F851E7" w:rsidRPr="00A80C5E" w:rsidRDefault="00BD0CAF"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10.528,87</w:t>
            </w:r>
          </w:p>
        </w:tc>
        <w:tc>
          <w:tcPr>
            <w:tcW w:w="882" w:type="dxa"/>
          </w:tcPr>
          <w:p w14:paraId="236578E8" w14:textId="657B1589" w:rsidR="00F851E7" w:rsidRPr="00A80C5E" w:rsidRDefault="002604E2"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75</w:t>
            </w:r>
          </w:p>
        </w:tc>
      </w:tr>
      <w:tr w:rsidR="00F851E7" w:rsidRPr="00A80C5E" w14:paraId="3BD31A22"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97B7CA1" w14:textId="280E9280"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komunalnih usluga</w:t>
            </w:r>
          </w:p>
        </w:tc>
        <w:tc>
          <w:tcPr>
            <w:tcW w:w="1696" w:type="dxa"/>
          </w:tcPr>
          <w:p w14:paraId="0168F5D9" w14:textId="5DC1E662" w:rsidR="00F851E7" w:rsidRPr="00A80C5E" w:rsidRDefault="00F851E7"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63.942,13</w:t>
            </w:r>
          </w:p>
        </w:tc>
        <w:tc>
          <w:tcPr>
            <w:tcW w:w="1564" w:type="dxa"/>
          </w:tcPr>
          <w:p w14:paraId="32AC32A4" w14:textId="32B587CB" w:rsidR="00F851E7" w:rsidRPr="00A80C5E" w:rsidRDefault="00BD0CAF"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75.814,14</w:t>
            </w:r>
          </w:p>
        </w:tc>
        <w:tc>
          <w:tcPr>
            <w:tcW w:w="882" w:type="dxa"/>
          </w:tcPr>
          <w:p w14:paraId="131F88E3" w14:textId="3DF60994" w:rsidR="00F851E7" w:rsidRPr="00A80C5E" w:rsidRDefault="002604E2"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119</w:t>
            </w:r>
          </w:p>
        </w:tc>
      </w:tr>
      <w:tr w:rsidR="00F851E7" w:rsidRPr="00A80C5E" w14:paraId="685346DA"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19715CC" w14:textId="027634FD"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bankarskih i sličnih usluga</w:t>
            </w:r>
          </w:p>
        </w:tc>
        <w:tc>
          <w:tcPr>
            <w:tcW w:w="1696" w:type="dxa"/>
          </w:tcPr>
          <w:p w14:paraId="7C2C0DEB" w14:textId="69C4ED1B" w:rsidR="00F851E7" w:rsidRPr="00A80C5E" w:rsidRDefault="00F851E7"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13.985,05</w:t>
            </w:r>
          </w:p>
        </w:tc>
        <w:tc>
          <w:tcPr>
            <w:tcW w:w="1564" w:type="dxa"/>
          </w:tcPr>
          <w:p w14:paraId="411EF645" w14:textId="422A98FB" w:rsidR="00F851E7" w:rsidRPr="00A80C5E" w:rsidRDefault="00BD0CAF"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14.335,31</w:t>
            </w:r>
          </w:p>
        </w:tc>
        <w:tc>
          <w:tcPr>
            <w:tcW w:w="882" w:type="dxa"/>
          </w:tcPr>
          <w:p w14:paraId="5BDA7F52" w14:textId="22DA4052" w:rsidR="00F851E7" w:rsidRPr="00A80C5E" w:rsidRDefault="002604E2"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102</w:t>
            </w:r>
          </w:p>
        </w:tc>
      </w:tr>
      <w:tr w:rsidR="00F851E7" w:rsidRPr="00A80C5E" w14:paraId="7D9E97D5"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43211CF1" w14:textId="2D3D1E4D"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premije osiguranja</w:t>
            </w:r>
          </w:p>
        </w:tc>
        <w:tc>
          <w:tcPr>
            <w:tcW w:w="1696" w:type="dxa"/>
          </w:tcPr>
          <w:p w14:paraId="68600FE8" w14:textId="38C33F97" w:rsidR="00F851E7" w:rsidRPr="00A80C5E" w:rsidRDefault="00F851E7"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18.889,05</w:t>
            </w:r>
          </w:p>
        </w:tc>
        <w:tc>
          <w:tcPr>
            <w:tcW w:w="1564" w:type="dxa"/>
          </w:tcPr>
          <w:p w14:paraId="484F26A0" w14:textId="0C4147F1" w:rsidR="00F851E7" w:rsidRPr="00A80C5E" w:rsidRDefault="00BD0CAF"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29.498,07</w:t>
            </w:r>
          </w:p>
        </w:tc>
        <w:tc>
          <w:tcPr>
            <w:tcW w:w="882" w:type="dxa"/>
          </w:tcPr>
          <w:p w14:paraId="1F899ED2" w14:textId="29E23D31" w:rsidR="00F851E7" w:rsidRPr="00A80C5E" w:rsidRDefault="002604E2"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156</w:t>
            </w:r>
          </w:p>
        </w:tc>
      </w:tr>
      <w:tr w:rsidR="00F851E7" w:rsidRPr="00A80C5E" w14:paraId="3A10A9C8"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72870412" w14:textId="305C7100"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registracije vozila</w:t>
            </w:r>
          </w:p>
        </w:tc>
        <w:tc>
          <w:tcPr>
            <w:tcW w:w="1696" w:type="dxa"/>
          </w:tcPr>
          <w:p w14:paraId="40B415F5" w14:textId="73D67D3F" w:rsidR="00F851E7" w:rsidRPr="00A80C5E" w:rsidRDefault="00F851E7"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1.087,07</w:t>
            </w:r>
          </w:p>
        </w:tc>
        <w:tc>
          <w:tcPr>
            <w:tcW w:w="1564" w:type="dxa"/>
          </w:tcPr>
          <w:p w14:paraId="57BB35BD" w14:textId="6953F734" w:rsidR="00F851E7" w:rsidRPr="00A80C5E" w:rsidRDefault="00F851E7" w:rsidP="00BD0CAF">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w:t>
            </w:r>
            <w:r w:rsidR="00BD0CAF" w:rsidRPr="00A80C5E">
              <w:rPr>
                <w:rFonts w:ascii="Times New Roman" w:eastAsia="Calibri" w:hAnsi="Times New Roman" w:cs="Times New Roman"/>
              </w:rPr>
              <w:t>330,21</w:t>
            </w:r>
          </w:p>
        </w:tc>
        <w:tc>
          <w:tcPr>
            <w:tcW w:w="882" w:type="dxa"/>
          </w:tcPr>
          <w:p w14:paraId="4409766A" w14:textId="67524B81" w:rsidR="00F851E7" w:rsidRPr="00A80C5E" w:rsidRDefault="002604E2"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122</w:t>
            </w:r>
          </w:p>
        </w:tc>
      </w:tr>
      <w:tr w:rsidR="00F851E7" w:rsidRPr="00A80C5E" w14:paraId="021F7AFD"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6A65D08" w14:textId="6DBDB8D3" w:rsidR="00F851E7" w:rsidRPr="00A80C5E" w:rsidRDefault="00F851E7" w:rsidP="00F851E7">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Troškovi ostalih usluga</w:t>
            </w:r>
          </w:p>
        </w:tc>
        <w:tc>
          <w:tcPr>
            <w:tcW w:w="1696" w:type="dxa"/>
          </w:tcPr>
          <w:p w14:paraId="574BBC1E" w14:textId="556F8FF7" w:rsidR="00F851E7" w:rsidRPr="00A80C5E" w:rsidRDefault="00F851E7"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64.989,03</w:t>
            </w:r>
          </w:p>
        </w:tc>
        <w:tc>
          <w:tcPr>
            <w:tcW w:w="1564" w:type="dxa"/>
          </w:tcPr>
          <w:p w14:paraId="0F7CBE4B" w14:textId="13545DAC" w:rsidR="00F851E7" w:rsidRPr="00A80C5E" w:rsidRDefault="00BD0CAF" w:rsidP="00BD0CAF">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55.790,74</w:t>
            </w:r>
          </w:p>
        </w:tc>
        <w:tc>
          <w:tcPr>
            <w:tcW w:w="882" w:type="dxa"/>
          </w:tcPr>
          <w:p w14:paraId="3F9CEC3B" w14:textId="555A62EE" w:rsidR="00F851E7" w:rsidRPr="00A80C5E" w:rsidRDefault="002604E2" w:rsidP="00F851E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86</w:t>
            </w:r>
          </w:p>
        </w:tc>
      </w:tr>
      <w:tr w:rsidR="00F851E7" w:rsidRPr="00A80C5E" w14:paraId="57169276" w14:textId="77777777" w:rsidTr="00EB3EEA">
        <w:tc>
          <w:tcPr>
            <w:cnfStyle w:val="001000000000" w:firstRow="0" w:lastRow="0" w:firstColumn="1" w:lastColumn="0" w:oddVBand="0" w:evenVBand="0" w:oddHBand="0" w:evenHBand="0" w:firstRowFirstColumn="0" w:firstRowLastColumn="0" w:lastRowFirstColumn="0" w:lastRowLastColumn="0"/>
            <w:tcW w:w="4253" w:type="dxa"/>
          </w:tcPr>
          <w:p w14:paraId="64C6252F" w14:textId="7A2BF71C" w:rsidR="00F851E7" w:rsidRPr="00A80C5E" w:rsidRDefault="00F851E7" w:rsidP="00F851E7">
            <w:pPr>
              <w:spacing w:line="276" w:lineRule="auto"/>
              <w:contextualSpacing/>
              <w:rPr>
                <w:rFonts w:ascii="Times New Roman" w:eastAsia="Calibri" w:hAnsi="Times New Roman" w:cs="Times New Roman"/>
              </w:rPr>
            </w:pPr>
            <w:r w:rsidRPr="00A80C5E">
              <w:rPr>
                <w:rFonts w:ascii="Times New Roman" w:eastAsia="Calibri" w:hAnsi="Times New Roman" w:cs="Times New Roman"/>
              </w:rPr>
              <w:t>Ukupno vanjski troškovi</w:t>
            </w:r>
          </w:p>
        </w:tc>
        <w:tc>
          <w:tcPr>
            <w:tcW w:w="1696" w:type="dxa"/>
          </w:tcPr>
          <w:p w14:paraId="208D76E2" w14:textId="08FB3764" w:rsidR="00F851E7" w:rsidRPr="00A80C5E" w:rsidRDefault="00F851E7"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A80C5E">
              <w:rPr>
                <w:rFonts w:ascii="Times New Roman" w:eastAsia="Calibri" w:hAnsi="Times New Roman" w:cs="Times New Roman"/>
                <w:b/>
              </w:rPr>
              <w:t>295.718,22</w:t>
            </w:r>
          </w:p>
        </w:tc>
        <w:tc>
          <w:tcPr>
            <w:tcW w:w="1564" w:type="dxa"/>
          </w:tcPr>
          <w:p w14:paraId="6E168AC6" w14:textId="0A9C5997" w:rsidR="00F851E7" w:rsidRPr="00A80C5E" w:rsidRDefault="00BD0CAF"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A80C5E">
              <w:rPr>
                <w:rFonts w:ascii="Times New Roman" w:eastAsia="Calibri" w:hAnsi="Times New Roman" w:cs="Times New Roman"/>
                <w:b/>
              </w:rPr>
              <w:t>348.219,63</w:t>
            </w:r>
          </w:p>
        </w:tc>
        <w:tc>
          <w:tcPr>
            <w:tcW w:w="882" w:type="dxa"/>
          </w:tcPr>
          <w:p w14:paraId="71D6C37D" w14:textId="689E5A0D" w:rsidR="00F851E7" w:rsidRPr="00A80C5E" w:rsidRDefault="002604E2" w:rsidP="00F851E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A80C5E">
              <w:rPr>
                <w:rFonts w:ascii="Times New Roman" w:eastAsia="Calibri" w:hAnsi="Times New Roman" w:cs="Times New Roman"/>
                <w:b/>
              </w:rPr>
              <w:t>118</w:t>
            </w:r>
          </w:p>
        </w:tc>
      </w:tr>
    </w:tbl>
    <w:p w14:paraId="6DCBD1CC" w14:textId="77777777" w:rsidR="00A41FA8" w:rsidRPr="00A80C5E" w:rsidRDefault="00A41FA8" w:rsidP="00131D13">
      <w:pPr>
        <w:spacing w:after="0" w:line="240" w:lineRule="auto"/>
        <w:rPr>
          <w:rFonts w:ascii="Times New Roman" w:eastAsia="Times New Roman" w:hAnsi="Times New Roman" w:cs="Times New Roman"/>
        </w:rPr>
      </w:pPr>
    </w:p>
    <w:p w14:paraId="524AF786" w14:textId="31A59DD6" w:rsidR="00131D13" w:rsidRPr="00A80C5E" w:rsidRDefault="00131D13" w:rsidP="00131D13">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t>Bilješka 1</w:t>
      </w:r>
      <w:r w:rsidR="00590D4A" w:rsidRPr="00A80C5E">
        <w:rPr>
          <w:rFonts w:ascii="Times New Roman" w:eastAsia="Times New Roman" w:hAnsi="Times New Roman" w:cs="Times New Roman"/>
          <w:b/>
        </w:rPr>
        <w:t>8</w:t>
      </w:r>
      <w:r w:rsidRPr="00A80C5E">
        <w:rPr>
          <w:rFonts w:ascii="Times New Roman" w:eastAsia="Times New Roman" w:hAnsi="Times New Roman" w:cs="Times New Roman"/>
          <w:b/>
        </w:rPr>
        <w:t>. Troškovi osoblja</w:t>
      </w:r>
    </w:p>
    <w:p w14:paraId="6462D2B3" w14:textId="77777777" w:rsidR="003E28E9" w:rsidRPr="00A80C5E" w:rsidRDefault="003E28E9" w:rsidP="00C32249">
      <w:pPr>
        <w:spacing w:after="0" w:line="276" w:lineRule="auto"/>
        <w:contextualSpacing/>
        <w:jc w:val="both"/>
        <w:rPr>
          <w:rFonts w:ascii="Times New Roman" w:eastAsia="Calibri" w:hAnsi="Times New Roman" w:cs="Times New Roman"/>
          <w:b/>
          <w:bCs/>
        </w:rPr>
      </w:pPr>
    </w:p>
    <w:p w14:paraId="54C632E0" w14:textId="7A6F0C08" w:rsidR="00C74384" w:rsidRPr="00A80C5E" w:rsidRDefault="00C32249" w:rsidP="00C74384">
      <w:pPr>
        <w:pStyle w:val="Odlomakpopisa2"/>
        <w:ind w:left="0"/>
        <w:jc w:val="both"/>
        <w:rPr>
          <w:rFonts w:ascii="Times New Roman" w:eastAsia="Calibri" w:hAnsi="Times New Roman"/>
        </w:rPr>
      </w:pPr>
      <w:r w:rsidRPr="00A80C5E">
        <w:rPr>
          <w:rFonts w:ascii="Times New Roman" w:eastAsia="Calibri" w:hAnsi="Times New Roman"/>
          <w:b/>
          <w:bCs/>
        </w:rPr>
        <w:t xml:space="preserve">Troškovi osoblja </w:t>
      </w:r>
      <w:r w:rsidRPr="00A80C5E">
        <w:rPr>
          <w:rFonts w:ascii="Times New Roman" w:eastAsia="Calibri" w:hAnsi="Times New Roman"/>
        </w:rPr>
        <w:t xml:space="preserve">iznose </w:t>
      </w:r>
      <w:r w:rsidR="00543DA6" w:rsidRPr="00A80C5E">
        <w:rPr>
          <w:rFonts w:ascii="Times New Roman" w:eastAsia="Calibri" w:hAnsi="Times New Roman"/>
        </w:rPr>
        <w:t>716.132,14</w:t>
      </w:r>
      <w:r w:rsidR="002A1944" w:rsidRPr="00A80C5E">
        <w:rPr>
          <w:rFonts w:ascii="Times New Roman" w:eastAsia="Calibri" w:hAnsi="Times New Roman"/>
        </w:rPr>
        <w:t xml:space="preserve"> </w:t>
      </w:r>
      <w:r w:rsidR="00C74384" w:rsidRPr="00A80C5E">
        <w:rPr>
          <w:rFonts w:ascii="Times New Roman" w:eastAsia="Calibri" w:hAnsi="Times New Roman"/>
        </w:rPr>
        <w:t>EUR</w:t>
      </w:r>
      <w:r w:rsidRPr="00A80C5E">
        <w:rPr>
          <w:rFonts w:ascii="Times New Roman" w:eastAsia="Calibri" w:hAnsi="Times New Roman"/>
        </w:rPr>
        <w:t xml:space="preserve"> te bilježi </w:t>
      </w:r>
      <w:r w:rsidR="00543DA6" w:rsidRPr="00A80C5E">
        <w:rPr>
          <w:rFonts w:ascii="Times New Roman" w:eastAsia="Calibri" w:hAnsi="Times New Roman"/>
        </w:rPr>
        <w:t>povećanje</w:t>
      </w:r>
      <w:r w:rsidR="00C74384" w:rsidRPr="00A80C5E">
        <w:rPr>
          <w:rFonts w:ascii="Times New Roman" w:eastAsia="Calibri" w:hAnsi="Times New Roman"/>
        </w:rPr>
        <w:t xml:space="preserve"> od </w:t>
      </w:r>
      <w:r w:rsidR="00543DA6" w:rsidRPr="00A80C5E">
        <w:rPr>
          <w:rFonts w:ascii="Times New Roman" w:eastAsia="Calibri" w:hAnsi="Times New Roman"/>
        </w:rPr>
        <w:t>7</w:t>
      </w:r>
      <w:r w:rsidR="00C74384" w:rsidRPr="00A80C5E">
        <w:rPr>
          <w:rFonts w:ascii="Times New Roman" w:eastAsia="Calibri" w:hAnsi="Times New Roman"/>
        </w:rPr>
        <w:t>%</w:t>
      </w:r>
      <w:r w:rsidRPr="00A80C5E">
        <w:rPr>
          <w:rFonts w:ascii="Times New Roman" w:eastAsia="Calibri" w:hAnsi="Times New Roman"/>
        </w:rPr>
        <w:t xml:space="preserve"> u odnosu na 202</w:t>
      </w:r>
      <w:r w:rsidR="00543DA6" w:rsidRPr="00A80C5E">
        <w:rPr>
          <w:rFonts w:ascii="Times New Roman" w:eastAsia="Calibri" w:hAnsi="Times New Roman"/>
        </w:rPr>
        <w:t>3</w:t>
      </w:r>
      <w:r w:rsidRPr="00A80C5E">
        <w:rPr>
          <w:rFonts w:ascii="Times New Roman" w:eastAsia="Calibri" w:hAnsi="Times New Roman"/>
        </w:rPr>
        <w:t>.</w:t>
      </w:r>
      <w:r w:rsidR="00C74384" w:rsidRPr="00A80C5E">
        <w:rPr>
          <w:rFonts w:ascii="Times New Roman" w:eastAsia="Calibri" w:hAnsi="Times New Roman"/>
        </w:rPr>
        <w:t xml:space="preserve"> godinu.</w:t>
      </w:r>
    </w:p>
    <w:p w14:paraId="6A2A76DA" w14:textId="1D01F555" w:rsidR="00C74384" w:rsidRPr="00A80C5E" w:rsidRDefault="00C74384" w:rsidP="00C74384">
      <w:pPr>
        <w:spacing w:after="0" w:line="276" w:lineRule="auto"/>
        <w:contextualSpacing/>
        <w:jc w:val="both"/>
        <w:rPr>
          <w:rFonts w:ascii="Times New Roman" w:eastAsia="Times New Roman" w:hAnsi="Times New Roman" w:cs="Times New Roman"/>
          <w:bCs/>
        </w:rPr>
      </w:pPr>
      <w:r w:rsidRPr="00A80C5E">
        <w:rPr>
          <w:rFonts w:ascii="Times New Roman" w:eastAsia="Times New Roman" w:hAnsi="Times New Roman" w:cs="Times New Roman"/>
          <w:bCs/>
        </w:rPr>
        <w:t>Na kraju 202</w:t>
      </w:r>
      <w:r w:rsidR="00543DA6" w:rsidRPr="00A80C5E">
        <w:rPr>
          <w:rFonts w:ascii="Times New Roman" w:eastAsia="Times New Roman" w:hAnsi="Times New Roman" w:cs="Times New Roman"/>
          <w:bCs/>
        </w:rPr>
        <w:t>4</w:t>
      </w:r>
      <w:r w:rsidRPr="00A80C5E">
        <w:rPr>
          <w:rFonts w:ascii="Times New Roman" w:eastAsia="Times New Roman" w:hAnsi="Times New Roman" w:cs="Times New Roman"/>
          <w:bCs/>
        </w:rPr>
        <w:t xml:space="preserve">. godine bilježimo </w:t>
      </w:r>
      <w:r w:rsidR="00543DA6" w:rsidRPr="00A80C5E">
        <w:rPr>
          <w:rFonts w:ascii="Times New Roman" w:eastAsia="Times New Roman" w:hAnsi="Times New Roman" w:cs="Times New Roman"/>
          <w:bCs/>
        </w:rPr>
        <w:t>rast od jednog radnika prema satima rada u odnosu na prethodnu godinu.</w:t>
      </w:r>
    </w:p>
    <w:p w14:paraId="7725ED2B" w14:textId="77777777" w:rsidR="00543DA6" w:rsidRPr="00543DA6" w:rsidRDefault="00543DA6" w:rsidP="00543DA6">
      <w:pPr>
        <w:spacing w:after="0" w:line="276" w:lineRule="auto"/>
        <w:contextualSpacing/>
        <w:jc w:val="both"/>
        <w:rPr>
          <w:rFonts w:ascii="Times New Roman" w:eastAsia="Times New Roman" w:hAnsi="Times New Roman" w:cs="Times New Roman"/>
          <w:noProof/>
          <w:color w:val="FF0000"/>
        </w:rPr>
      </w:pPr>
      <w:r w:rsidRPr="00543DA6">
        <w:rPr>
          <w:rFonts w:ascii="Times New Roman" w:eastAsia="Times New Roman" w:hAnsi="Times New Roman" w:cs="Times New Roman"/>
          <w:bCs/>
        </w:rPr>
        <w:t xml:space="preserve">Na povećanje troškova osoblja je utjecala isplata dvije otpremnine za mirovine radnika (rezervirane iz poslovanja prethodne godine),  povećanje osnovice plaće od 4% po Aneksu br. 2. Kolektivnog ugovora od 06.09.2023. godine, te smanjen broj korištenja bolovanja na teret FOND-a i na teret poslodavca za 61%. </w:t>
      </w:r>
    </w:p>
    <w:p w14:paraId="4BF44B9E" w14:textId="1800D938" w:rsidR="00131D13" w:rsidRPr="00A80C5E" w:rsidRDefault="00131D13" w:rsidP="00131D13">
      <w:pPr>
        <w:widowControl w:val="0"/>
        <w:spacing w:after="0" w:line="280" w:lineRule="exact"/>
        <w:jc w:val="both"/>
        <w:rPr>
          <w:rFonts w:ascii="Times New Roman" w:eastAsia="Times New Roman" w:hAnsi="Times New Roman" w:cs="Times New Roman"/>
          <w:b/>
        </w:rPr>
      </w:pPr>
      <w:r w:rsidRPr="00A80C5E">
        <w:rPr>
          <w:rFonts w:ascii="Times New Roman" w:eastAsia="Times New Roman" w:hAnsi="Times New Roman" w:cs="Times New Roman"/>
          <w:b/>
        </w:rPr>
        <w:t xml:space="preserve">Bilješka </w:t>
      </w:r>
      <w:r w:rsidR="00590D4A" w:rsidRPr="00A80C5E">
        <w:rPr>
          <w:rFonts w:ascii="Times New Roman" w:eastAsia="Times New Roman" w:hAnsi="Times New Roman" w:cs="Times New Roman"/>
          <w:b/>
        </w:rPr>
        <w:t>19</w:t>
      </w:r>
      <w:r w:rsidRPr="00A80C5E">
        <w:rPr>
          <w:rFonts w:ascii="Times New Roman" w:eastAsia="Times New Roman" w:hAnsi="Times New Roman" w:cs="Times New Roman"/>
          <w:b/>
        </w:rPr>
        <w:t>.  Troškovi amortizacije</w:t>
      </w:r>
    </w:p>
    <w:p w14:paraId="7605D7B1" w14:textId="77777777" w:rsidR="00131D13" w:rsidRPr="00A80C5E" w:rsidRDefault="00131D13" w:rsidP="00131D13">
      <w:pPr>
        <w:widowControl w:val="0"/>
        <w:spacing w:after="0" w:line="280" w:lineRule="exact"/>
        <w:jc w:val="both"/>
        <w:rPr>
          <w:rFonts w:ascii="Times New Roman" w:eastAsia="Times New Roman" w:hAnsi="Times New Roman" w:cs="Times New Roman"/>
        </w:rPr>
      </w:pPr>
      <w:r w:rsidRPr="00A80C5E">
        <w:rPr>
          <w:rFonts w:ascii="Times New Roman" w:eastAsia="Times New Roman" w:hAnsi="Times New Roman" w:cs="Times New Roman"/>
        </w:rPr>
        <w:t xml:space="preserve">  </w:t>
      </w:r>
    </w:p>
    <w:tbl>
      <w:tblPr>
        <w:tblStyle w:val="Tablicareetke2-isticanje3"/>
        <w:tblW w:w="0" w:type="auto"/>
        <w:tblLook w:val="04A0" w:firstRow="1" w:lastRow="0" w:firstColumn="1" w:lastColumn="0" w:noHBand="0" w:noVBand="1"/>
      </w:tblPr>
      <w:tblGrid>
        <w:gridCol w:w="4253"/>
        <w:gridCol w:w="1696"/>
        <w:gridCol w:w="1564"/>
        <w:gridCol w:w="882"/>
      </w:tblGrid>
      <w:tr w:rsidR="002E7078" w:rsidRPr="00A80C5E" w14:paraId="43D7EAED" w14:textId="77777777" w:rsidTr="00803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62BD3A3" w14:textId="77777777" w:rsidR="002E7078" w:rsidRPr="00A80C5E" w:rsidRDefault="002E7078" w:rsidP="00803BE9">
            <w:pPr>
              <w:spacing w:line="276" w:lineRule="auto"/>
              <w:contextualSpacing/>
              <w:rPr>
                <w:rFonts w:ascii="Times New Roman" w:eastAsia="Calibri" w:hAnsi="Times New Roman" w:cs="Times New Roman"/>
                <w:bCs w:val="0"/>
              </w:rPr>
            </w:pPr>
            <w:r w:rsidRPr="00A80C5E">
              <w:rPr>
                <w:rFonts w:ascii="Times New Roman" w:eastAsia="Calibri" w:hAnsi="Times New Roman" w:cs="Times New Roman"/>
                <w:bCs w:val="0"/>
              </w:rPr>
              <w:t>Naziv pozicije</w:t>
            </w:r>
          </w:p>
        </w:tc>
        <w:tc>
          <w:tcPr>
            <w:tcW w:w="1696" w:type="dxa"/>
          </w:tcPr>
          <w:p w14:paraId="5A62D9BF" w14:textId="31FF46C8" w:rsidR="002E7078" w:rsidRPr="00A80C5E" w:rsidRDefault="002E7078" w:rsidP="00543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A80C5E">
              <w:rPr>
                <w:rFonts w:ascii="Times New Roman" w:eastAsia="Calibri" w:hAnsi="Times New Roman" w:cs="Times New Roman"/>
                <w:bCs w:val="0"/>
              </w:rPr>
              <w:t>Stanje na 31.12.20</w:t>
            </w:r>
            <w:r w:rsidR="00C32249" w:rsidRPr="00A80C5E">
              <w:rPr>
                <w:rFonts w:ascii="Times New Roman" w:eastAsia="Calibri" w:hAnsi="Times New Roman" w:cs="Times New Roman"/>
                <w:bCs w:val="0"/>
              </w:rPr>
              <w:t>2</w:t>
            </w:r>
            <w:r w:rsidR="00543DA6" w:rsidRPr="00A80C5E">
              <w:rPr>
                <w:rFonts w:ascii="Times New Roman" w:eastAsia="Calibri" w:hAnsi="Times New Roman" w:cs="Times New Roman"/>
                <w:bCs w:val="0"/>
              </w:rPr>
              <w:t>3</w:t>
            </w:r>
            <w:r w:rsidRPr="00A80C5E">
              <w:rPr>
                <w:rFonts w:ascii="Times New Roman" w:eastAsia="Calibri" w:hAnsi="Times New Roman" w:cs="Times New Roman"/>
                <w:bCs w:val="0"/>
              </w:rPr>
              <w:t>.</w:t>
            </w:r>
          </w:p>
        </w:tc>
        <w:tc>
          <w:tcPr>
            <w:tcW w:w="1564" w:type="dxa"/>
          </w:tcPr>
          <w:p w14:paraId="1D4863CF" w14:textId="14A9188A" w:rsidR="002E7078" w:rsidRPr="00A80C5E" w:rsidRDefault="002E7078" w:rsidP="00543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A80C5E">
              <w:rPr>
                <w:rFonts w:ascii="Times New Roman" w:eastAsia="Calibri" w:hAnsi="Times New Roman" w:cs="Times New Roman"/>
                <w:bCs w:val="0"/>
              </w:rPr>
              <w:t>Stanje na 31.12.202</w:t>
            </w:r>
            <w:r w:rsidR="00543DA6" w:rsidRPr="00A80C5E">
              <w:rPr>
                <w:rFonts w:ascii="Times New Roman" w:eastAsia="Calibri" w:hAnsi="Times New Roman" w:cs="Times New Roman"/>
                <w:bCs w:val="0"/>
              </w:rPr>
              <w:t>4</w:t>
            </w:r>
            <w:r w:rsidRPr="00A80C5E">
              <w:rPr>
                <w:rFonts w:ascii="Times New Roman" w:eastAsia="Calibri" w:hAnsi="Times New Roman" w:cs="Times New Roman"/>
                <w:bCs w:val="0"/>
              </w:rPr>
              <w:t>.</w:t>
            </w:r>
          </w:p>
        </w:tc>
        <w:tc>
          <w:tcPr>
            <w:tcW w:w="882" w:type="dxa"/>
          </w:tcPr>
          <w:p w14:paraId="7D29B37E" w14:textId="77777777" w:rsidR="002E7078" w:rsidRPr="00A80C5E" w:rsidRDefault="002E7078" w:rsidP="00803BE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A80C5E">
              <w:rPr>
                <w:rFonts w:ascii="Times New Roman" w:eastAsia="Calibri" w:hAnsi="Times New Roman" w:cs="Times New Roman"/>
                <w:bCs w:val="0"/>
              </w:rPr>
              <w:t>IND</w:t>
            </w:r>
          </w:p>
        </w:tc>
      </w:tr>
      <w:tr w:rsidR="00C32249" w:rsidRPr="00A80C5E" w14:paraId="7045DF62" w14:textId="77777777" w:rsidTr="00803B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4D5C4D34" w14:textId="6B992594" w:rsidR="00C32249" w:rsidRPr="00A80C5E" w:rsidRDefault="00C32249" w:rsidP="00C32249">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Amortizacija građevinskih objekata</w:t>
            </w:r>
          </w:p>
        </w:tc>
        <w:tc>
          <w:tcPr>
            <w:tcW w:w="1696" w:type="dxa"/>
          </w:tcPr>
          <w:p w14:paraId="690AAC30" w14:textId="39E66A4A" w:rsidR="00C32249" w:rsidRPr="00A80C5E"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w:t>
            </w:r>
          </w:p>
        </w:tc>
        <w:tc>
          <w:tcPr>
            <w:tcW w:w="1564" w:type="dxa"/>
          </w:tcPr>
          <w:p w14:paraId="597CA7A5" w14:textId="381C7E65" w:rsidR="00C32249" w:rsidRPr="00A80C5E"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w:t>
            </w:r>
          </w:p>
        </w:tc>
        <w:tc>
          <w:tcPr>
            <w:tcW w:w="882" w:type="dxa"/>
          </w:tcPr>
          <w:p w14:paraId="1E384899" w14:textId="3829AF80" w:rsidR="00C32249" w:rsidRPr="00A80C5E"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w:t>
            </w:r>
          </w:p>
        </w:tc>
      </w:tr>
      <w:tr w:rsidR="00543DA6" w:rsidRPr="00A80C5E" w14:paraId="4BD9FE03" w14:textId="77777777" w:rsidTr="00803BE9">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4397AF95" w14:textId="24D7A16E" w:rsidR="00543DA6" w:rsidRPr="00A80C5E" w:rsidRDefault="00543DA6" w:rsidP="00543DA6">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Amortizacija postrojenja i opreme</w:t>
            </w:r>
          </w:p>
        </w:tc>
        <w:tc>
          <w:tcPr>
            <w:tcW w:w="1696" w:type="dxa"/>
          </w:tcPr>
          <w:p w14:paraId="2D37C012" w14:textId="57B0F2E1" w:rsidR="00543DA6" w:rsidRPr="00A80C5E" w:rsidRDefault="00543DA6" w:rsidP="00543DA6">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15.566,61</w:t>
            </w:r>
          </w:p>
        </w:tc>
        <w:tc>
          <w:tcPr>
            <w:tcW w:w="1564" w:type="dxa"/>
          </w:tcPr>
          <w:p w14:paraId="4ED03D51" w14:textId="359D3BA6" w:rsidR="00543DA6" w:rsidRPr="00A80C5E" w:rsidRDefault="00543DA6" w:rsidP="00543DA6">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34.468,50</w:t>
            </w:r>
          </w:p>
        </w:tc>
        <w:tc>
          <w:tcPr>
            <w:tcW w:w="882" w:type="dxa"/>
          </w:tcPr>
          <w:p w14:paraId="25CD30E8" w14:textId="460EA222" w:rsidR="00543DA6" w:rsidRPr="00A80C5E" w:rsidRDefault="004E50C8" w:rsidP="00543DA6">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221</w:t>
            </w:r>
          </w:p>
        </w:tc>
      </w:tr>
      <w:tr w:rsidR="00543DA6" w:rsidRPr="00A80C5E" w14:paraId="62C99AD1" w14:textId="77777777" w:rsidTr="00803B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04F288BE" w14:textId="7540C6F2" w:rsidR="00543DA6" w:rsidRPr="00A80C5E" w:rsidRDefault="00543DA6" w:rsidP="00543DA6">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Amortizacija prijevoznih sredstava</w:t>
            </w:r>
          </w:p>
        </w:tc>
        <w:tc>
          <w:tcPr>
            <w:tcW w:w="1696" w:type="dxa"/>
          </w:tcPr>
          <w:p w14:paraId="677497B8" w14:textId="3A628013" w:rsidR="00543DA6" w:rsidRPr="00A80C5E" w:rsidRDefault="00543DA6" w:rsidP="00543DA6">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9.124,74</w:t>
            </w:r>
          </w:p>
        </w:tc>
        <w:tc>
          <w:tcPr>
            <w:tcW w:w="1564" w:type="dxa"/>
          </w:tcPr>
          <w:p w14:paraId="7EED5E9B" w14:textId="6C061A75" w:rsidR="00543DA6" w:rsidRPr="00A80C5E" w:rsidRDefault="00543DA6" w:rsidP="00543DA6">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3.456,59</w:t>
            </w:r>
          </w:p>
        </w:tc>
        <w:tc>
          <w:tcPr>
            <w:tcW w:w="882" w:type="dxa"/>
          </w:tcPr>
          <w:p w14:paraId="73536EAB" w14:textId="3A6ED7CE" w:rsidR="00543DA6" w:rsidRPr="00A80C5E" w:rsidRDefault="004E50C8" w:rsidP="00543DA6">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38</w:t>
            </w:r>
          </w:p>
        </w:tc>
      </w:tr>
      <w:tr w:rsidR="00543DA6" w:rsidRPr="00A80C5E" w14:paraId="76F06D61" w14:textId="77777777" w:rsidTr="00803BE9">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B453823" w14:textId="44CADC0D" w:rsidR="00543DA6" w:rsidRPr="00A80C5E" w:rsidRDefault="00543DA6" w:rsidP="00543DA6">
            <w:pPr>
              <w:spacing w:line="276" w:lineRule="auto"/>
              <w:contextualSpacing/>
              <w:rPr>
                <w:rFonts w:ascii="Times New Roman" w:eastAsia="Calibri" w:hAnsi="Times New Roman" w:cs="Times New Roman"/>
                <w:b w:val="0"/>
              </w:rPr>
            </w:pPr>
            <w:r w:rsidRPr="00A80C5E">
              <w:rPr>
                <w:rFonts w:ascii="Times New Roman" w:eastAsia="Calibri" w:hAnsi="Times New Roman" w:cs="Times New Roman"/>
                <w:b w:val="0"/>
              </w:rPr>
              <w:t>Amortizacija ostalih pozicija</w:t>
            </w:r>
          </w:p>
        </w:tc>
        <w:tc>
          <w:tcPr>
            <w:tcW w:w="1696" w:type="dxa"/>
          </w:tcPr>
          <w:p w14:paraId="59878C5A" w14:textId="6FD826AD" w:rsidR="00543DA6" w:rsidRPr="00A80C5E" w:rsidRDefault="00543DA6" w:rsidP="00543DA6">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39.742,28</w:t>
            </w:r>
          </w:p>
        </w:tc>
        <w:tc>
          <w:tcPr>
            <w:tcW w:w="1564" w:type="dxa"/>
          </w:tcPr>
          <w:p w14:paraId="4020396E" w14:textId="4131DB76" w:rsidR="00543DA6" w:rsidRPr="00A80C5E" w:rsidRDefault="00543DA6" w:rsidP="00543DA6">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66.360,44</w:t>
            </w:r>
          </w:p>
        </w:tc>
        <w:tc>
          <w:tcPr>
            <w:tcW w:w="882" w:type="dxa"/>
          </w:tcPr>
          <w:p w14:paraId="2F47F78B" w14:textId="4959D16D" w:rsidR="00543DA6" w:rsidRPr="00A80C5E" w:rsidRDefault="004E50C8" w:rsidP="00543DA6">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0C5E">
              <w:rPr>
                <w:rFonts w:ascii="Times New Roman" w:eastAsia="Calibri" w:hAnsi="Times New Roman" w:cs="Times New Roman"/>
              </w:rPr>
              <w:t>167</w:t>
            </w:r>
          </w:p>
        </w:tc>
      </w:tr>
      <w:tr w:rsidR="00543DA6" w:rsidRPr="00A80C5E" w14:paraId="4DFAC4C1" w14:textId="77777777" w:rsidTr="00803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4BB5188" w14:textId="3BB36E5E" w:rsidR="00543DA6" w:rsidRPr="00A80C5E" w:rsidRDefault="00543DA6" w:rsidP="00543DA6">
            <w:pPr>
              <w:spacing w:line="276" w:lineRule="auto"/>
              <w:contextualSpacing/>
              <w:rPr>
                <w:rFonts w:ascii="Times New Roman" w:eastAsia="Calibri" w:hAnsi="Times New Roman" w:cs="Times New Roman"/>
              </w:rPr>
            </w:pPr>
            <w:r w:rsidRPr="00A80C5E">
              <w:rPr>
                <w:rFonts w:ascii="Times New Roman" w:eastAsia="Calibri" w:hAnsi="Times New Roman" w:cs="Times New Roman"/>
              </w:rPr>
              <w:t>Ukupno troškovi amortizacije</w:t>
            </w:r>
          </w:p>
        </w:tc>
        <w:tc>
          <w:tcPr>
            <w:tcW w:w="1696" w:type="dxa"/>
          </w:tcPr>
          <w:p w14:paraId="2133700D" w14:textId="5250A984" w:rsidR="00543DA6" w:rsidRPr="00A80C5E" w:rsidRDefault="00543DA6" w:rsidP="00543DA6">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A80C5E">
              <w:rPr>
                <w:rFonts w:ascii="Times New Roman" w:eastAsia="Calibri" w:hAnsi="Times New Roman" w:cs="Times New Roman"/>
                <w:b/>
              </w:rPr>
              <w:t>64.433,63</w:t>
            </w:r>
          </w:p>
        </w:tc>
        <w:tc>
          <w:tcPr>
            <w:tcW w:w="1564" w:type="dxa"/>
          </w:tcPr>
          <w:p w14:paraId="4D5E6B8D" w14:textId="30BD1981" w:rsidR="00543DA6" w:rsidRPr="00A80C5E" w:rsidRDefault="00543DA6" w:rsidP="00543DA6">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A80C5E">
              <w:rPr>
                <w:rFonts w:ascii="Times New Roman" w:eastAsia="Calibri" w:hAnsi="Times New Roman" w:cs="Times New Roman"/>
                <w:b/>
              </w:rPr>
              <w:t>104.285,53</w:t>
            </w:r>
          </w:p>
        </w:tc>
        <w:tc>
          <w:tcPr>
            <w:tcW w:w="882" w:type="dxa"/>
          </w:tcPr>
          <w:p w14:paraId="3A50EF58" w14:textId="15C42967" w:rsidR="00543DA6" w:rsidRPr="00A80C5E" w:rsidRDefault="004E50C8" w:rsidP="00543DA6">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A80C5E">
              <w:rPr>
                <w:rFonts w:ascii="Times New Roman" w:eastAsia="Calibri" w:hAnsi="Times New Roman" w:cs="Times New Roman"/>
                <w:b/>
              </w:rPr>
              <w:t>162</w:t>
            </w:r>
          </w:p>
        </w:tc>
      </w:tr>
    </w:tbl>
    <w:p w14:paraId="285B0C63" w14:textId="20361059" w:rsidR="002E7078" w:rsidRPr="00A80C5E" w:rsidRDefault="00DE3E13" w:rsidP="00DE3E13">
      <w:pPr>
        <w:spacing w:after="0" w:line="240" w:lineRule="auto"/>
        <w:jc w:val="right"/>
        <w:rPr>
          <w:rFonts w:ascii="Times New Roman" w:eastAsia="Times New Roman" w:hAnsi="Times New Roman" w:cs="Times New Roman"/>
        </w:rPr>
      </w:pPr>
      <w:r w:rsidRPr="00A80C5E">
        <w:rPr>
          <w:rFonts w:ascii="Times New Roman" w:eastAsia="Times New Roman" w:hAnsi="Times New Roman" w:cs="Times New Roman"/>
        </w:rPr>
        <w:t>12</w:t>
      </w:r>
    </w:p>
    <w:p w14:paraId="250974C7" w14:textId="77777777" w:rsidR="00A80C5E" w:rsidRDefault="00A80C5E" w:rsidP="00B362FD">
      <w:pPr>
        <w:spacing w:after="0" w:line="276" w:lineRule="auto"/>
        <w:contextualSpacing/>
        <w:jc w:val="both"/>
        <w:rPr>
          <w:rFonts w:ascii="Times New Roman" w:eastAsia="Calibri" w:hAnsi="Times New Roman" w:cs="Times New Roman"/>
          <w:b/>
          <w:bCs/>
        </w:rPr>
      </w:pPr>
    </w:p>
    <w:p w14:paraId="76D1A9D7" w14:textId="77777777" w:rsidR="00A80C5E" w:rsidRDefault="00A80C5E" w:rsidP="00B362FD">
      <w:pPr>
        <w:spacing w:after="0" w:line="276" w:lineRule="auto"/>
        <w:contextualSpacing/>
        <w:jc w:val="both"/>
        <w:rPr>
          <w:rFonts w:ascii="Times New Roman" w:eastAsia="Calibri" w:hAnsi="Times New Roman" w:cs="Times New Roman"/>
          <w:b/>
          <w:bCs/>
        </w:rPr>
      </w:pPr>
    </w:p>
    <w:p w14:paraId="646D9C1B" w14:textId="77777777" w:rsidR="00A80C5E" w:rsidRDefault="00A80C5E" w:rsidP="00B362FD">
      <w:pPr>
        <w:spacing w:after="0" w:line="276" w:lineRule="auto"/>
        <w:contextualSpacing/>
        <w:jc w:val="both"/>
        <w:rPr>
          <w:rFonts w:ascii="Times New Roman" w:eastAsia="Calibri" w:hAnsi="Times New Roman" w:cs="Times New Roman"/>
          <w:b/>
          <w:bCs/>
        </w:rPr>
      </w:pPr>
    </w:p>
    <w:p w14:paraId="5D636295" w14:textId="77777777" w:rsidR="00B362FD" w:rsidRPr="00B362FD" w:rsidRDefault="00B362FD" w:rsidP="00B362FD">
      <w:pPr>
        <w:spacing w:after="0" w:line="276" w:lineRule="auto"/>
        <w:contextualSpacing/>
        <w:jc w:val="both"/>
        <w:rPr>
          <w:rFonts w:ascii="Times New Roman" w:eastAsia="Calibri" w:hAnsi="Times New Roman" w:cs="Times New Roman"/>
        </w:rPr>
      </w:pPr>
      <w:r w:rsidRPr="00B362FD">
        <w:rPr>
          <w:rFonts w:ascii="Times New Roman" w:eastAsia="Calibri" w:hAnsi="Times New Roman" w:cs="Times New Roman"/>
          <w:b/>
          <w:bCs/>
        </w:rPr>
        <w:t>Troškovi amortizacije</w:t>
      </w:r>
      <w:r w:rsidRPr="00B362FD">
        <w:rPr>
          <w:rFonts w:ascii="Times New Roman" w:eastAsia="Calibri" w:hAnsi="Times New Roman" w:cs="Times New Roman"/>
        </w:rPr>
        <w:t xml:space="preserve"> iznose 104.286 EUR i za 62%  su veći u odnosu na 2023. godinu radi  korištenja zakonskih mogućnosti podvostručenih stopa amortizacije.</w:t>
      </w:r>
    </w:p>
    <w:p w14:paraId="015577A3" w14:textId="77777777" w:rsidR="00A81432" w:rsidRDefault="00A81432" w:rsidP="00866994">
      <w:pPr>
        <w:pStyle w:val="Odlomakpopisa"/>
        <w:ind w:left="0"/>
        <w:jc w:val="both"/>
        <w:rPr>
          <w:rFonts w:ascii="Times New Roman" w:eastAsia="Times New Roman" w:hAnsi="Times New Roman"/>
          <w:b/>
        </w:rPr>
      </w:pPr>
    </w:p>
    <w:p w14:paraId="6987FB29" w14:textId="7688DEA5" w:rsidR="00763305" w:rsidRPr="0075481A" w:rsidRDefault="00131D13" w:rsidP="00866994">
      <w:pPr>
        <w:pStyle w:val="Odlomakpopisa"/>
        <w:ind w:left="0"/>
        <w:jc w:val="both"/>
        <w:rPr>
          <w:rFonts w:ascii="Times New Roman" w:eastAsia="Times New Roman" w:hAnsi="Times New Roman"/>
          <w:b/>
        </w:rPr>
      </w:pPr>
      <w:r w:rsidRPr="0075481A">
        <w:rPr>
          <w:rFonts w:ascii="Times New Roman" w:eastAsia="Times New Roman" w:hAnsi="Times New Roman"/>
          <w:b/>
        </w:rPr>
        <w:t>Bilješka 2</w:t>
      </w:r>
      <w:r w:rsidR="00590D4A">
        <w:rPr>
          <w:rFonts w:ascii="Times New Roman" w:eastAsia="Times New Roman" w:hAnsi="Times New Roman"/>
          <w:b/>
        </w:rPr>
        <w:t>0</w:t>
      </w:r>
      <w:r w:rsidRPr="0075481A">
        <w:rPr>
          <w:rFonts w:ascii="Times New Roman" w:eastAsia="Times New Roman" w:hAnsi="Times New Roman"/>
          <w:b/>
        </w:rPr>
        <w:t>.</w:t>
      </w:r>
      <w:r w:rsidR="00763305" w:rsidRPr="0075481A">
        <w:rPr>
          <w:rFonts w:ascii="Times New Roman" w:eastAsia="Times New Roman" w:hAnsi="Times New Roman"/>
          <w:b/>
        </w:rPr>
        <w:t xml:space="preserve"> Ostali troškovi</w:t>
      </w:r>
    </w:p>
    <w:p w14:paraId="4C57031C" w14:textId="77777777" w:rsidR="00763305" w:rsidRPr="0075481A" w:rsidRDefault="00763305" w:rsidP="00866994">
      <w:pPr>
        <w:pStyle w:val="Odlomakpopisa"/>
        <w:ind w:left="0"/>
        <w:jc w:val="both"/>
        <w:rPr>
          <w:rFonts w:ascii="Times New Roman" w:eastAsia="Times New Roman" w:hAnsi="Times New Roman"/>
          <w:b/>
        </w:rPr>
      </w:pPr>
    </w:p>
    <w:p w14:paraId="2D52DFC4" w14:textId="62804373" w:rsidR="001E3AA2" w:rsidRPr="0075481A" w:rsidRDefault="001E3AA2" w:rsidP="001E3AA2">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b/>
          <w:bCs/>
        </w:rPr>
        <w:t>Ostali troškovi poslovanja</w:t>
      </w:r>
      <w:r w:rsidRPr="0075481A">
        <w:rPr>
          <w:rFonts w:ascii="Times New Roman" w:eastAsia="Calibri" w:hAnsi="Times New Roman" w:cs="Times New Roman"/>
        </w:rPr>
        <w:t xml:space="preserve"> iznose 1</w:t>
      </w:r>
      <w:r w:rsidR="00B362FD">
        <w:rPr>
          <w:rFonts w:ascii="Times New Roman" w:eastAsia="Calibri" w:hAnsi="Times New Roman" w:cs="Times New Roman"/>
        </w:rPr>
        <w:t>42.943,07</w:t>
      </w:r>
      <w:r w:rsidRPr="0075481A">
        <w:rPr>
          <w:rFonts w:ascii="Times New Roman" w:eastAsia="Calibri" w:hAnsi="Times New Roman" w:cs="Times New Roman"/>
        </w:rPr>
        <w:t xml:space="preserve"> EUR, a obuhvaćaju troškove reprezentacije, troškove dnevnica i putnih troškova na službenim putovanjima, troškove poreza koji ne ovise o rezultatu, doprinosa, naknada i članarina, stručnu literaturu i obrazovanje, trošak naknada troškova radnika, trošak darova, nagrada i potpora radnicima, te ostale nespecificirane troškove poslovanja. U odnosu na 202</w:t>
      </w:r>
      <w:r w:rsidR="00B362FD">
        <w:rPr>
          <w:rFonts w:ascii="Times New Roman" w:eastAsia="Calibri" w:hAnsi="Times New Roman" w:cs="Times New Roman"/>
        </w:rPr>
        <w:t>3</w:t>
      </w:r>
      <w:r w:rsidRPr="0075481A">
        <w:rPr>
          <w:rFonts w:ascii="Times New Roman" w:eastAsia="Calibri" w:hAnsi="Times New Roman" w:cs="Times New Roman"/>
        </w:rPr>
        <w:t xml:space="preserve">. godinu bilježe povećanje od </w:t>
      </w:r>
      <w:r w:rsidR="00B362FD">
        <w:rPr>
          <w:rFonts w:ascii="Times New Roman" w:eastAsia="Calibri" w:hAnsi="Times New Roman" w:cs="Times New Roman"/>
        </w:rPr>
        <w:t>27</w:t>
      </w:r>
      <w:r w:rsidRPr="0075481A">
        <w:rPr>
          <w:rFonts w:ascii="Times New Roman" w:eastAsia="Calibri" w:hAnsi="Times New Roman" w:cs="Times New Roman"/>
        </w:rPr>
        <w:t>%.</w:t>
      </w:r>
    </w:p>
    <w:p w14:paraId="74D2ABBC" w14:textId="77777777" w:rsidR="004F6845" w:rsidRPr="0075481A" w:rsidRDefault="004F6845" w:rsidP="00866994">
      <w:pPr>
        <w:pStyle w:val="Odlomakpopisa"/>
        <w:ind w:left="0"/>
        <w:jc w:val="both"/>
        <w:rPr>
          <w:rFonts w:ascii="Times New Roman" w:eastAsia="Times New Roman" w:hAnsi="Times New Roman"/>
          <w:b/>
        </w:rPr>
      </w:pPr>
    </w:p>
    <w:p w14:paraId="620DA194" w14:textId="4CEDE929" w:rsidR="00763305"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1</w:t>
      </w:r>
      <w:r w:rsidRPr="0075481A">
        <w:rPr>
          <w:rFonts w:ascii="Times New Roman" w:eastAsia="Times New Roman" w:hAnsi="Times New Roman" w:cs="Times New Roman"/>
          <w:b/>
        </w:rPr>
        <w:t>.</w:t>
      </w:r>
      <w:r w:rsidR="00763305" w:rsidRPr="0075481A">
        <w:rPr>
          <w:rFonts w:ascii="Times New Roman" w:eastAsia="Times New Roman" w:hAnsi="Times New Roman" w:cs="Times New Roman"/>
          <w:b/>
        </w:rPr>
        <w:t xml:space="preserve"> Vrijednosna usklađenja</w:t>
      </w:r>
    </w:p>
    <w:p w14:paraId="62ADC979" w14:textId="4960C23A" w:rsidR="00763305" w:rsidRPr="0075481A" w:rsidRDefault="00763305" w:rsidP="00131D13">
      <w:pPr>
        <w:spacing w:after="0" w:line="240" w:lineRule="auto"/>
        <w:rPr>
          <w:rFonts w:ascii="Times New Roman" w:eastAsia="Times New Roman" w:hAnsi="Times New Roman" w:cs="Times New Roman"/>
          <w:b/>
        </w:rPr>
      </w:pPr>
    </w:p>
    <w:p w14:paraId="20081732" w14:textId="6737E109" w:rsidR="009845E6" w:rsidRPr="0075481A" w:rsidRDefault="009845E6" w:rsidP="00131D13">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U 202</w:t>
      </w:r>
      <w:r w:rsidR="00B362FD">
        <w:rPr>
          <w:rFonts w:ascii="Times New Roman" w:eastAsia="Times New Roman" w:hAnsi="Times New Roman" w:cs="Times New Roman"/>
        </w:rPr>
        <w:t>4</w:t>
      </w:r>
      <w:r w:rsidRPr="0075481A">
        <w:rPr>
          <w:rFonts w:ascii="Times New Roman" w:eastAsia="Times New Roman" w:hAnsi="Times New Roman" w:cs="Times New Roman"/>
        </w:rPr>
        <w:t xml:space="preserve">. godini </w:t>
      </w:r>
      <w:r w:rsidR="00C92746" w:rsidRPr="0075481A">
        <w:rPr>
          <w:rFonts w:ascii="Times New Roman" w:eastAsia="Times New Roman" w:hAnsi="Times New Roman" w:cs="Times New Roman"/>
        </w:rPr>
        <w:t xml:space="preserve">na poziciji vrijednosni usklađenja </w:t>
      </w:r>
      <w:r w:rsidR="00F342AB" w:rsidRPr="0075481A">
        <w:rPr>
          <w:rFonts w:ascii="Times New Roman" w:eastAsia="Times New Roman" w:hAnsi="Times New Roman" w:cs="Times New Roman"/>
        </w:rPr>
        <w:t xml:space="preserve">iskazano je </w:t>
      </w:r>
      <w:r w:rsidR="00B362FD">
        <w:rPr>
          <w:rFonts w:ascii="Times New Roman" w:eastAsia="Times New Roman" w:hAnsi="Times New Roman" w:cs="Times New Roman"/>
        </w:rPr>
        <w:t>24.579,55</w:t>
      </w:r>
      <w:r w:rsidR="001E3AA2" w:rsidRPr="0075481A">
        <w:rPr>
          <w:rFonts w:ascii="Times New Roman" w:eastAsia="Times New Roman" w:hAnsi="Times New Roman" w:cs="Times New Roman"/>
        </w:rPr>
        <w:t xml:space="preserve"> EUR</w:t>
      </w:r>
      <w:r w:rsidR="00F342AB" w:rsidRPr="0075481A">
        <w:rPr>
          <w:rFonts w:ascii="Times New Roman" w:eastAsia="Times New Roman" w:hAnsi="Times New Roman" w:cs="Times New Roman"/>
        </w:rPr>
        <w:t xml:space="preserve"> i to vrijednosno usklađenje potraživanja od kupaca</w:t>
      </w:r>
      <w:r w:rsidR="00C92746" w:rsidRPr="0075481A">
        <w:rPr>
          <w:rFonts w:ascii="Times New Roman" w:eastAsia="Times New Roman" w:hAnsi="Times New Roman" w:cs="Times New Roman"/>
        </w:rPr>
        <w:t>.</w:t>
      </w:r>
      <w:r w:rsidRPr="0075481A">
        <w:rPr>
          <w:rFonts w:ascii="Times New Roman" w:eastAsia="Times New Roman" w:hAnsi="Times New Roman" w:cs="Times New Roman"/>
        </w:rPr>
        <w:t xml:space="preserve"> </w:t>
      </w:r>
    </w:p>
    <w:p w14:paraId="50C443EA" w14:textId="2A5E1D5C" w:rsidR="00131D13" w:rsidRPr="0075481A" w:rsidRDefault="00131D13" w:rsidP="00131D13">
      <w:pPr>
        <w:spacing w:after="0" w:line="276" w:lineRule="auto"/>
        <w:contextualSpacing/>
        <w:jc w:val="both"/>
        <w:rPr>
          <w:rFonts w:ascii="Times New Roman" w:eastAsia="Calibri" w:hAnsi="Times New Roman" w:cs="Times New Roman"/>
          <w:b/>
          <w:bCs/>
          <w:color w:val="17365D"/>
        </w:rPr>
      </w:pPr>
    </w:p>
    <w:p w14:paraId="146E59E7" w14:textId="23D3C925"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Bilješke 2</w:t>
      </w:r>
      <w:r w:rsidR="00590D4A">
        <w:rPr>
          <w:rFonts w:ascii="Times New Roman" w:eastAsia="Times New Roman" w:hAnsi="Times New Roman" w:cs="Times New Roman"/>
          <w:b/>
        </w:rPr>
        <w:t>2</w:t>
      </w:r>
      <w:r w:rsidRPr="0075481A">
        <w:rPr>
          <w:rFonts w:ascii="Times New Roman" w:eastAsia="Times New Roman" w:hAnsi="Times New Roman" w:cs="Times New Roman"/>
          <w:b/>
        </w:rPr>
        <w:t>. Rezerviranja</w:t>
      </w:r>
    </w:p>
    <w:p w14:paraId="687BA9FD" w14:textId="77777777" w:rsidR="00131D13" w:rsidRPr="0075481A" w:rsidRDefault="00131D13" w:rsidP="00131D13">
      <w:pPr>
        <w:spacing w:after="0" w:line="240" w:lineRule="auto"/>
        <w:rPr>
          <w:rFonts w:ascii="Times New Roman" w:eastAsia="Times New Roman" w:hAnsi="Times New Roman" w:cs="Times New Roman"/>
          <w:b/>
        </w:rPr>
      </w:pPr>
    </w:p>
    <w:p w14:paraId="77B7E6DA" w14:textId="7227313B" w:rsidR="00F342AB" w:rsidRPr="0075481A" w:rsidRDefault="00F23061" w:rsidP="001E3AA2">
      <w:pPr>
        <w:contextualSpacing/>
        <w:jc w:val="both"/>
        <w:rPr>
          <w:rFonts w:ascii="Times New Roman" w:eastAsia="Times New Roman" w:hAnsi="Times New Roman" w:cs="Times New Roman"/>
          <w:noProof/>
          <w:color w:val="FF0000"/>
        </w:rPr>
      </w:pPr>
      <w:r w:rsidRPr="0075481A">
        <w:rPr>
          <w:rFonts w:ascii="Times New Roman" w:eastAsia="Times New Roman" w:hAnsi="Times New Roman" w:cs="Times New Roman"/>
        </w:rPr>
        <w:t>U 202</w:t>
      </w:r>
      <w:r w:rsidR="007D3C79">
        <w:rPr>
          <w:rFonts w:ascii="Times New Roman" w:eastAsia="Times New Roman" w:hAnsi="Times New Roman" w:cs="Times New Roman"/>
        </w:rPr>
        <w:t>4</w:t>
      </w:r>
      <w:r w:rsidRPr="0075481A">
        <w:rPr>
          <w:rFonts w:ascii="Times New Roman" w:eastAsia="Times New Roman" w:hAnsi="Times New Roman" w:cs="Times New Roman"/>
        </w:rPr>
        <w:t>.</w:t>
      </w:r>
      <w:r w:rsidR="00F342AB" w:rsidRPr="0075481A">
        <w:rPr>
          <w:rFonts w:ascii="Times New Roman" w:eastAsia="Times New Roman" w:hAnsi="Times New Roman" w:cs="Times New Roman"/>
        </w:rPr>
        <w:t xml:space="preserve"> godini na poziciji rezerviranja iskazano je </w:t>
      </w:r>
      <w:r w:rsidR="00B362FD">
        <w:rPr>
          <w:rFonts w:ascii="Times New Roman" w:eastAsia="Times New Roman" w:hAnsi="Times New Roman" w:cs="Times New Roman"/>
        </w:rPr>
        <w:t>69.404,60</w:t>
      </w:r>
      <w:r w:rsidR="001E3AA2" w:rsidRPr="0075481A">
        <w:rPr>
          <w:rFonts w:ascii="Times New Roman" w:eastAsia="Times New Roman" w:hAnsi="Times New Roman" w:cs="Times New Roman"/>
        </w:rPr>
        <w:t xml:space="preserve"> EUR</w:t>
      </w:r>
      <w:r w:rsidR="00F342AB" w:rsidRPr="0075481A">
        <w:rPr>
          <w:rFonts w:ascii="Times New Roman" w:eastAsia="Times New Roman" w:hAnsi="Times New Roman" w:cs="Times New Roman"/>
        </w:rPr>
        <w:t xml:space="preserve"> i to za </w:t>
      </w:r>
      <w:r w:rsidR="00F342AB" w:rsidRPr="0075481A">
        <w:rPr>
          <w:rFonts w:ascii="Times New Roman" w:eastAsia="Calibri" w:hAnsi="Times New Roman" w:cs="Times New Roman"/>
        </w:rPr>
        <w:t>trošak rezerviranja za mirovin</w:t>
      </w:r>
      <w:r w:rsidR="00B362FD">
        <w:rPr>
          <w:rFonts w:ascii="Times New Roman" w:eastAsia="Calibri" w:hAnsi="Times New Roman" w:cs="Times New Roman"/>
        </w:rPr>
        <w:t>e i  otpremnine</w:t>
      </w:r>
      <w:r w:rsidR="001E3AA2" w:rsidRPr="0075481A">
        <w:rPr>
          <w:rFonts w:ascii="Times New Roman" w:eastAsia="Calibri" w:hAnsi="Times New Roman" w:cs="Times New Roman"/>
        </w:rPr>
        <w:t>.</w:t>
      </w:r>
    </w:p>
    <w:p w14:paraId="346E3FF6" w14:textId="1509500D" w:rsidR="00422B5C" w:rsidRPr="0075481A" w:rsidRDefault="00422B5C" w:rsidP="005364B4">
      <w:pPr>
        <w:spacing w:after="0" w:line="240" w:lineRule="auto"/>
        <w:jc w:val="right"/>
        <w:rPr>
          <w:rFonts w:ascii="Times New Roman" w:eastAsia="Times New Roman" w:hAnsi="Times New Roman" w:cs="Times New Roman"/>
        </w:rPr>
      </w:pPr>
    </w:p>
    <w:p w14:paraId="252301DB" w14:textId="377B84E8"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3</w:t>
      </w:r>
      <w:r w:rsidRPr="0075481A">
        <w:rPr>
          <w:rFonts w:ascii="Times New Roman" w:eastAsia="Times New Roman" w:hAnsi="Times New Roman" w:cs="Times New Roman"/>
          <w:b/>
        </w:rPr>
        <w:t>. Ostali poslovni rashodi</w:t>
      </w:r>
    </w:p>
    <w:p w14:paraId="4B0AF97D" w14:textId="77777777" w:rsidR="00131D13" w:rsidRPr="0075481A" w:rsidRDefault="00131D13" w:rsidP="00131D13">
      <w:pPr>
        <w:spacing w:after="0" w:line="240" w:lineRule="auto"/>
        <w:rPr>
          <w:rFonts w:ascii="Times New Roman" w:eastAsia="Times New Roman" w:hAnsi="Times New Roman" w:cs="Times New Roman"/>
        </w:rPr>
      </w:pPr>
    </w:p>
    <w:p w14:paraId="7F11FC75" w14:textId="39C8EE45" w:rsidR="00131D13" w:rsidRPr="0075481A" w:rsidRDefault="00131D13" w:rsidP="00131D13">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Strukturu ostalih poslovnih rashoda u 20</w:t>
      </w:r>
      <w:r w:rsidR="00F23061" w:rsidRPr="0075481A">
        <w:rPr>
          <w:rFonts w:ascii="Times New Roman" w:eastAsia="Times New Roman" w:hAnsi="Times New Roman" w:cs="Times New Roman"/>
        </w:rPr>
        <w:t>2</w:t>
      </w:r>
      <w:r w:rsidR="007D3C79">
        <w:rPr>
          <w:rFonts w:ascii="Times New Roman" w:eastAsia="Times New Roman" w:hAnsi="Times New Roman" w:cs="Times New Roman"/>
        </w:rPr>
        <w:t>4</w:t>
      </w:r>
      <w:r w:rsidRPr="0075481A">
        <w:rPr>
          <w:rFonts w:ascii="Times New Roman" w:eastAsia="Times New Roman" w:hAnsi="Times New Roman" w:cs="Times New Roman"/>
        </w:rPr>
        <w:t xml:space="preserve">. godini </w:t>
      </w:r>
      <w:r w:rsidR="007A7CCE" w:rsidRPr="0075481A">
        <w:rPr>
          <w:rFonts w:ascii="Times New Roman" w:eastAsia="Times New Roman" w:hAnsi="Times New Roman" w:cs="Times New Roman"/>
        </w:rPr>
        <w:t xml:space="preserve">u iznosu od  </w:t>
      </w:r>
      <w:r w:rsidR="007D3C79">
        <w:rPr>
          <w:rFonts w:ascii="Times New Roman" w:eastAsia="Times New Roman" w:hAnsi="Times New Roman" w:cs="Times New Roman"/>
        </w:rPr>
        <w:t>7.795,46</w:t>
      </w:r>
      <w:r w:rsidR="001E3AA2" w:rsidRPr="0075481A">
        <w:rPr>
          <w:rFonts w:ascii="Times New Roman" w:eastAsia="Times New Roman" w:hAnsi="Times New Roman" w:cs="Times New Roman"/>
        </w:rPr>
        <w:t xml:space="preserve"> EUR</w:t>
      </w:r>
      <w:r w:rsidR="007A7CCE" w:rsidRPr="0075481A">
        <w:rPr>
          <w:rFonts w:ascii="Times New Roman" w:eastAsia="Times New Roman" w:hAnsi="Times New Roman" w:cs="Times New Roman"/>
        </w:rPr>
        <w:t xml:space="preserve"> čine  darovanja, manjkovi, kazne</w:t>
      </w:r>
      <w:r w:rsidRPr="0075481A">
        <w:rPr>
          <w:rFonts w:ascii="Times New Roman" w:eastAsia="Times New Roman" w:hAnsi="Times New Roman" w:cs="Times New Roman"/>
        </w:rPr>
        <w:t xml:space="preserve">. </w:t>
      </w:r>
    </w:p>
    <w:p w14:paraId="700F22B7" w14:textId="77777777" w:rsidR="00131D13" w:rsidRPr="0075481A" w:rsidRDefault="00131D13" w:rsidP="00131D13">
      <w:pPr>
        <w:spacing w:after="0" w:line="240" w:lineRule="auto"/>
        <w:rPr>
          <w:rFonts w:ascii="Times New Roman" w:eastAsia="Times New Roman" w:hAnsi="Times New Roman" w:cs="Times New Roman"/>
          <w:b/>
        </w:rPr>
      </w:pPr>
    </w:p>
    <w:p w14:paraId="0FB3BD65" w14:textId="491E027C"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4</w:t>
      </w:r>
      <w:r w:rsidRPr="0075481A">
        <w:rPr>
          <w:rFonts w:ascii="Times New Roman" w:eastAsia="Times New Roman" w:hAnsi="Times New Roman" w:cs="Times New Roman"/>
          <w:b/>
        </w:rPr>
        <w:t>. Financijski prihodi</w:t>
      </w:r>
    </w:p>
    <w:p w14:paraId="3E3A0DF2" w14:textId="77777777" w:rsidR="003E28E9" w:rsidRPr="0075481A" w:rsidRDefault="003E28E9" w:rsidP="001B4644">
      <w:pPr>
        <w:spacing w:after="0" w:line="276" w:lineRule="auto"/>
        <w:jc w:val="both"/>
        <w:rPr>
          <w:rFonts w:ascii="Times New Roman" w:eastAsia="Calibri" w:hAnsi="Times New Roman" w:cs="Times New Roman"/>
          <w:b/>
          <w:bCs/>
        </w:rPr>
      </w:pPr>
    </w:p>
    <w:p w14:paraId="072F24F5" w14:textId="007209C2" w:rsidR="001E3AA2" w:rsidRPr="0075481A" w:rsidRDefault="001B4644" w:rsidP="00EE50BF">
      <w:pPr>
        <w:jc w:val="both"/>
        <w:rPr>
          <w:rFonts w:ascii="Times New Roman" w:eastAsia="Calibri" w:hAnsi="Times New Roman" w:cs="Times New Roman"/>
          <w:bCs/>
          <w:i/>
        </w:rPr>
      </w:pPr>
      <w:r w:rsidRPr="0075481A">
        <w:rPr>
          <w:rFonts w:ascii="Times New Roman" w:eastAsia="Calibri" w:hAnsi="Times New Roman" w:cs="Times New Roman"/>
          <w:b/>
          <w:bCs/>
        </w:rPr>
        <w:t xml:space="preserve">Financijski prihodi </w:t>
      </w:r>
      <w:r w:rsidR="001E3AA2" w:rsidRPr="0075481A">
        <w:rPr>
          <w:rFonts w:ascii="Times New Roman" w:eastAsia="Calibri" w:hAnsi="Times New Roman" w:cs="Times New Roman"/>
          <w:bCs/>
        </w:rPr>
        <w:t xml:space="preserve">ostvareni su u iznosu od </w:t>
      </w:r>
      <w:r w:rsidR="00EE50BF" w:rsidRPr="0075481A">
        <w:rPr>
          <w:rFonts w:ascii="Times New Roman" w:eastAsia="Calibri" w:hAnsi="Times New Roman" w:cs="Times New Roman"/>
          <w:bCs/>
        </w:rPr>
        <w:t>1</w:t>
      </w:r>
      <w:r w:rsidR="007D3C79">
        <w:rPr>
          <w:rFonts w:ascii="Times New Roman" w:eastAsia="Calibri" w:hAnsi="Times New Roman" w:cs="Times New Roman"/>
          <w:bCs/>
        </w:rPr>
        <w:t>8.191,79</w:t>
      </w:r>
      <w:r w:rsidR="001E3AA2" w:rsidRPr="0075481A">
        <w:rPr>
          <w:rFonts w:ascii="Times New Roman" w:eastAsia="Calibri" w:hAnsi="Times New Roman" w:cs="Times New Roman"/>
          <w:bCs/>
        </w:rPr>
        <w:t xml:space="preserve"> EUR, a odnose se na prihode od redovnih kamata (3.</w:t>
      </w:r>
      <w:r w:rsidR="007D3C79">
        <w:rPr>
          <w:rFonts w:ascii="Times New Roman" w:eastAsia="Calibri" w:hAnsi="Times New Roman" w:cs="Times New Roman"/>
          <w:bCs/>
        </w:rPr>
        <w:t>298,00</w:t>
      </w:r>
      <w:r w:rsidR="001E3AA2" w:rsidRPr="0075481A">
        <w:rPr>
          <w:rFonts w:ascii="Times New Roman" w:eastAsia="Calibri" w:hAnsi="Times New Roman" w:cs="Times New Roman"/>
          <w:bCs/>
        </w:rPr>
        <w:t xml:space="preserve"> EUR), prihode od zateznih kamata (</w:t>
      </w:r>
      <w:r w:rsidR="007D3C79">
        <w:rPr>
          <w:rFonts w:ascii="Times New Roman" w:eastAsia="Calibri" w:hAnsi="Times New Roman" w:cs="Times New Roman"/>
          <w:bCs/>
        </w:rPr>
        <w:t>7.047,21</w:t>
      </w:r>
      <w:r w:rsidR="001E3AA2" w:rsidRPr="0075481A">
        <w:rPr>
          <w:rFonts w:ascii="Times New Roman" w:eastAsia="Calibri" w:hAnsi="Times New Roman" w:cs="Times New Roman"/>
          <w:bCs/>
        </w:rPr>
        <w:t xml:space="preserve"> EUR)</w:t>
      </w:r>
      <w:r w:rsidR="00EE50BF" w:rsidRPr="0075481A">
        <w:rPr>
          <w:rFonts w:ascii="Times New Roman" w:eastAsia="Calibri" w:hAnsi="Times New Roman" w:cs="Times New Roman"/>
          <w:bCs/>
        </w:rPr>
        <w:t xml:space="preserve">, </w:t>
      </w:r>
      <w:r w:rsidR="007D3C79">
        <w:rPr>
          <w:rFonts w:ascii="Times New Roman" w:eastAsia="Calibri" w:hAnsi="Times New Roman" w:cs="Times New Roman"/>
          <w:bCs/>
        </w:rPr>
        <w:t xml:space="preserve">0,14 EUR tečajne razlike, </w:t>
      </w:r>
      <w:r w:rsidR="001E3AA2" w:rsidRPr="0075481A">
        <w:rPr>
          <w:rFonts w:ascii="Times New Roman" w:eastAsia="Calibri" w:hAnsi="Times New Roman" w:cs="Times New Roman"/>
          <w:bCs/>
        </w:rPr>
        <w:t>te ostal</w:t>
      </w:r>
      <w:r w:rsidR="00EE50BF" w:rsidRPr="0075481A">
        <w:rPr>
          <w:rFonts w:ascii="Times New Roman" w:eastAsia="Calibri" w:hAnsi="Times New Roman" w:cs="Times New Roman"/>
          <w:bCs/>
        </w:rPr>
        <w:t>i</w:t>
      </w:r>
      <w:r w:rsidR="001E3AA2" w:rsidRPr="0075481A">
        <w:rPr>
          <w:rFonts w:ascii="Times New Roman" w:eastAsia="Calibri" w:hAnsi="Times New Roman" w:cs="Times New Roman"/>
          <w:bCs/>
        </w:rPr>
        <w:t xml:space="preserve"> </w:t>
      </w:r>
      <w:r w:rsidR="00EE50BF" w:rsidRPr="0075481A">
        <w:rPr>
          <w:rFonts w:ascii="Times New Roman" w:eastAsia="Calibri" w:hAnsi="Times New Roman" w:cs="Times New Roman"/>
          <w:bCs/>
        </w:rPr>
        <w:t>financijski</w:t>
      </w:r>
      <w:r w:rsidR="001E3AA2" w:rsidRPr="0075481A">
        <w:rPr>
          <w:rFonts w:ascii="Times New Roman" w:eastAsia="Calibri" w:hAnsi="Times New Roman" w:cs="Times New Roman"/>
          <w:bCs/>
        </w:rPr>
        <w:t xml:space="preserve"> prihod</w:t>
      </w:r>
      <w:r w:rsidR="00EE50BF" w:rsidRPr="0075481A">
        <w:rPr>
          <w:rFonts w:ascii="Times New Roman" w:eastAsia="Calibri" w:hAnsi="Times New Roman" w:cs="Times New Roman"/>
          <w:bCs/>
        </w:rPr>
        <w:t>i</w:t>
      </w:r>
      <w:r w:rsidR="001E3AA2" w:rsidRPr="0075481A">
        <w:rPr>
          <w:rFonts w:ascii="Times New Roman" w:eastAsia="Calibri" w:hAnsi="Times New Roman" w:cs="Times New Roman"/>
          <w:bCs/>
        </w:rPr>
        <w:t xml:space="preserve"> (7.</w:t>
      </w:r>
      <w:r w:rsidR="007D3C79">
        <w:rPr>
          <w:rFonts w:ascii="Times New Roman" w:eastAsia="Calibri" w:hAnsi="Times New Roman" w:cs="Times New Roman"/>
          <w:bCs/>
        </w:rPr>
        <w:t>846,44</w:t>
      </w:r>
      <w:r w:rsidR="001E3AA2" w:rsidRPr="0075481A">
        <w:rPr>
          <w:rFonts w:ascii="Times New Roman" w:eastAsia="Calibri" w:hAnsi="Times New Roman" w:cs="Times New Roman"/>
          <w:bCs/>
        </w:rPr>
        <w:t xml:space="preserve"> EUR) koji se odnose se na naplatu troškova ovrhe, te naplata šteta od osiguranja. </w:t>
      </w:r>
    </w:p>
    <w:p w14:paraId="00F289DF" w14:textId="6FD52CC6" w:rsidR="00A81432" w:rsidRPr="00A81432" w:rsidRDefault="00A81432" w:rsidP="00A81432">
      <w:pPr>
        <w:spacing w:after="0" w:line="240" w:lineRule="auto"/>
        <w:jc w:val="right"/>
        <w:rPr>
          <w:rFonts w:ascii="Times New Roman" w:eastAsia="Times New Roman" w:hAnsi="Times New Roman" w:cs="Times New Roman"/>
        </w:rPr>
      </w:pPr>
    </w:p>
    <w:p w14:paraId="739FEAAE" w14:textId="77777777" w:rsidR="00A81432" w:rsidRDefault="00A81432" w:rsidP="00131D13">
      <w:pPr>
        <w:spacing w:after="0" w:line="240" w:lineRule="auto"/>
        <w:rPr>
          <w:rFonts w:ascii="Times New Roman" w:eastAsia="Times New Roman" w:hAnsi="Times New Roman" w:cs="Times New Roman"/>
          <w:b/>
        </w:rPr>
      </w:pPr>
    </w:p>
    <w:p w14:paraId="29D3AAC2" w14:textId="2F8F8BC6"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5</w:t>
      </w:r>
      <w:r w:rsidR="00763305" w:rsidRPr="0075481A">
        <w:rPr>
          <w:rFonts w:ascii="Times New Roman" w:eastAsia="Times New Roman" w:hAnsi="Times New Roman" w:cs="Times New Roman"/>
          <w:b/>
        </w:rPr>
        <w:t>.</w:t>
      </w:r>
      <w:r w:rsidRPr="0075481A">
        <w:rPr>
          <w:rFonts w:ascii="Times New Roman" w:eastAsia="Times New Roman" w:hAnsi="Times New Roman" w:cs="Times New Roman"/>
          <w:b/>
        </w:rPr>
        <w:t xml:space="preserve"> Financijski rashodi</w:t>
      </w:r>
    </w:p>
    <w:p w14:paraId="384AABC5" w14:textId="77777777" w:rsidR="00131D13" w:rsidRPr="0075481A" w:rsidRDefault="00131D13" w:rsidP="00131D13">
      <w:pPr>
        <w:spacing w:after="0" w:line="240" w:lineRule="auto"/>
        <w:rPr>
          <w:rFonts w:ascii="Times New Roman" w:eastAsia="Times New Roman" w:hAnsi="Times New Roman" w:cs="Times New Roman"/>
          <w:bCs/>
        </w:rPr>
      </w:pPr>
    </w:p>
    <w:p w14:paraId="5189C627" w14:textId="77777777" w:rsidR="00EE50BF" w:rsidRPr="0075481A" w:rsidRDefault="00EE50BF" w:rsidP="00EE50BF">
      <w:pPr>
        <w:spacing w:after="0" w:line="276" w:lineRule="auto"/>
        <w:contextualSpacing/>
        <w:jc w:val="both"/>
        <w:rPr>
          <w:rFonts w:ascii="Times New Roman" w:eastAsia="Times New Roman" w:hAnsi="Times New Roman" w:cs="Times New Roman"/>
          <w:b/>
          <w:noProof/>
        </w:rPr>
      </w:pPr>
      <w:r w:rsidRPr="0075481A">
        <w:rPr>
          <w:rFonts w:ascii="Times New Roman" w:eastAsia="Times New Roman" w:hAnsi="Times New Roman" w:cs="Times New Roman"/>
          <w:b/>
          <w:noProof/>
        </w:rPr>
        <w:t>Financijski rashodi</w:t>
      </w:r>
    </w:p>
    <w:p w14:paraId="58A57CAE" w14:textId="77777777" w:rsidR="00DE3E13" w:rsidRDefault="00EE50BF" w:rsidP="00EE50BF">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Financijski rashodi</w:t>
      </w:r>
      <w:r w:rsidRPr="0075481A">
        <w:rPr>
          <w:rFonts w:ascii="Times New Roman" w:eastAsia="Calibri" w:hAnsi="Times New Roman" w:cs="Times New Roman"/>
          <w:b/>
        </w:rPr>
        <w:t xml:space="preserve"> </w:t>
      </w:r>
      <w:r w:rsidRPr="0075481A">
        <w:rPr>
          <w:rFonts w:ascii="Times New Roman" w:eastAsia="Calibri" w:hAnsi="Times New Roman" w:cs="Times New Roman"/>
        </w:rPr>
        <w:t xml:space="preserve">iznose </w:t>
      </w:r>
      <w:r w:rsidR="007D3C79">
        <w:rPr>
          <w:rFonts w:ascii="Times New Roman" w:eastAsia="Calibri" w:hAnsi="Times New Roman" w:cs="Times New Roman"/>
        </w:rPr>
        <w:t>4.606,81</w:t>
      </w:r>
      <w:r w:rsidRPr="0075481A">
        <w:rPr>
          <w:rFonts w:ascii="Times New Roman" w:eastAsia="Calibri" w:hAnsi="Times New Roman" w:cs="Times New Roman"/>
        </w:rPr>
        <w:t xml:space="preserve"> EUR od kojih se </w:t>
      </w:r>
      <w:r w:rsidR="007D3C79">
        <w:rPr>
          <w:rFonts w:ascii="Times New Roman" w:eastAsia="Calibri" w:hAnsi="Times New Roman" w:cs="Times New Roman"/>
        </w:rPr>
        <w:t>4.593,54</w:t>
      </w:r>
      <w:r w:rsidRPr="0075481A">
        <w:rPr>
          <w:rFonts w:ascii="Times New Roman" w:eastAsia="Calibri" w:hAnsi="Times New Roman" w:cs="Times New Roman"/>
        </w:rPr>
        <w:t xml:space="preserve"> EUR odnosi se na troškove redovnih kamata po kreditu podignutog 2018. godine u poslovnoj banci (ZABA d.d.) u svrhu proširenja Gradskog groblja u Puli i </w:t>
      </w:r>
      <w:r w:rsidR="007D3C79">
        <w:rPr>
          <w:rFonts w:ascii="Times New Roman" w:eastAsia="Calibri" w:hAnsi="Times New Roman" w:cs="Times New Roman"/>
        </w:rPr>
        <w:t>ostali financijski rashodi</w:t>
      </w:r>
      <w:r w:rsidRPr="0075481A">
        <w:rPr>
          <w:rFonts w:ascii="Times New Roman" w:eastAsia="Calibri" w:hAnsi="Times New Roman" w:cs="Times New Roman"/>
        </w:rPr>
        <w:t xml:space="preserve"> </w:t>
      </w:r>
      <w:r w:rsidR="007D3C79">
        <w:rPr>
          <w:rFonts w:ascii="Times New Roman" w:eastAsia="Calibri" w:hAnsi="Times New Roman" w:cs="Times New Roman"/>
        </w:rPr>
        <w:t xml:space="preserve">od 13,27 </w:t>
      </w:r>
      <w:r w:rsidRPr="0075481A">
        <w:rPr>
          <w:rFonts w:ascii="Times New Roman" w:eastAsia="Calibri" w:hAnsi="Times New Roman" w:cs="Times New Roman"/>
        </w:rPr>
        <w:t>EUR.</w:t>
      </w:r>
    </w:p>
    <w:p w14:paraId="09541F7A" w14:textId="77777777" w:rsidR="00DE3E13" w:rsidRDefault="00DE3E13" w:rsidP="00EE50BF">
      <w:pPr>
        <w:spacing w:after="0" w:line="276" w:lineRule="auto"/>
        <w:contextualSpacing/>
        <w:jc w:val="both"/>
        <w:rPr>
          <w:rFonts w:ascii="Times New Roman" w:eastAsia="Calibri" w:hAnsi="Times New Roman" w:cs="Times New Roman"/>
        </w:rPr>
      </w:pPr>
    </w:p>
    <w:p w14:paraId="7B484037" w14:textId="77777777" w:rsidR="00DE3E13" w:rsidRDefault="00DE3E13" w:rsidP="00EE50BF">
      <w:pPr>
        <w:spacing w:after="0" w:line="276" w:lineRule="auto"/>
        <w:contextualSpacing/>
        <w:jc w:val="both"/>
        <w:rPr>
          <w:rFonts w:ascii="Times New Roman" w:eastAsia="Calibri" w:hAnsi="Times New Roman" w:cs="Times New Roman"/>
        </w:rPr>
      </w:pPr>
    </w:p>
    <w:p w14:paraId="1DD48754" w14:textId="77777777" w:rsidR="00DE3E13" w:rsidRDefault="00DE3E13" w:rsidP="00EE50BF">
      <w:pPr>
        <w:spacing w:after="0" w:line="276" w:lineRule="auto"/>
        <w:contextualSpacing/>
        <w:jc w:val="both"/>
        <w:rPr>
          <w:rFonts w:ascii="Times New Roman" w:eastAsia="Calibri" w:hAnsi="Times New Roman" w:cs="Times New Roman"/>
        </w:rPr>
      </w:pPr>
    </w:p>
    <w:p w14:paraId="2D8395BE" w14:textId="4076A94F" w:rsidR="00EE50BF" w:rsidRPr="0075481A" w:rsidRDefault="00DE3E13" w:rsidP="00DE3E13">
      <w:pPr>
        <w:spacing w:after="0" w:line="276" w:lineRule="auto"/>
        <w:contextualSpacing/>
        <w:jc w:val="right"/>
        <w:rPr>
          <w:rFonts w:ascii="Times New Roman" w:eastAsia="Calibri" w:hAnsi="Times New Roman" w:cs="Times New Roman"/>
        </w:rPr>
      </w:pPr>
      <w:r>
        <w:rPr>
          <w:rFonts w:ascii="Times New Roman" w:eastAsia="Calibri" w:hAnsi="Times New Roman" w:cs="Times New Roman"/>
        </w:rPr>
        <w:t>13</w:t>
      </w:r>
      <w:r w:rsidR="00EE50BF" w:rsidRPr="0075481A">
        <w:rPr>
          <w:rFonts w:ascii="Times New Roman" w:eastAsia="Calibri" w:hAnsi="Times New Roman" w:cs="Times New Roman"/>
        </w:rPr>
        <w:t xml:space="preserve"> </w:t>
      </w:r>
    </w:p>
    <w:p w14:paraId="01457603" w14:textId="77777777" w:rsidR="00590D4A" w:rsidRDefault="00590D4A" w:rsidP="00131D13">
      <w:pPr>
        <w:keepNext/>
        <w:spacing w:after="0" w:line="240" w:lineRule="auto"/>
        <w:ind w:left="360" w:hanging="360"/>
        <w:outlineLvl w:val="1"/>
        <w:rPr>
          <w:rFonts w:ascii="Times New Roman" w:eastAsia="Times New Roman" w:hAnsi="Times New Roman" w:cs="Times New Roman"/>
          <w:b/>
        </w:rPr>
      </w:pPr>
    </w:p>
    <w:p w14:paraId="0FC6CCA5" w14:textId="77777777" w:rsidR="00DE3E13" w:rsidRDefault="00DE3E13" w:rsidP="00131D13">
      <w:pPr>
        <w:keepNext/>
        <w:spacing w:after="0" w:line="240" w:lineRule="auto"/>
        <w:ind w:left="360" w:hanging="360"/>
        <w:outlineLvl w:val="1"/>
        <w:rPr>
          <w:rFonts w:ascii="Times New Roman" w:eastAsia="Times New Roman" w:hAnsi="Times New Roman" w:cs="Times New Roman"/>
          <w:b/>
        </w:rPr>
      </w:pPr>
    </w:p>
    <w:p w14:paraId="1C1358E8" w14:textId="4E26DCD3" w:rsidR="00131D13" w:rsidRPr="00A80C5E" w:rsidRDefault="00131D13" w:rsidP="00131D13">
      <w:pPr>
        <w:keepNext/>
        <w:spacing w:after="0" w:line="240" w:lineRule="auto"/>
        <w:ind w:left="360" w:hanging="360"/>
        <w:outlineLvl w:val="1"/>
        <w:rPr>
          <w:rFonts w:ascii="Times New Roman" w:eastAsia="Times New Roman" w:hAnsi="Times New Roman" w:cs="Times New Roman"/>
          <w:b/>
        </w:rPr>
      </w:pPr>
      <w:r w:rsidRPr="00A80C5E">
        <w:rPr>
          <w:rFonts w:ascii="Times New Roman" w:eastAsia="Times New Roman" w:hAnsi="Times New Roman" w:cs="Times New Roman"/>
          <w:b/>
        </w:rPr>
        <w:t>Bilješka 2</w:t>
      </w:r>
      <w:r w:rsidR="00590D4A" w:rsidRPr="00A80C5E">
        <w:rPr>
          <w:rFonts w:ascii="Times New Roman" w:eastAsia="Times New Roman" w:hAnsi="Times New Roman" w:cs="Times New Roman"/>
          <w:b/>
        </w:rPr>
        <w:t>6</w:t>
      </w:r>
      <w:r w:rsidRPr="00A80C5E">
        <w:rPr>
          <w:rFonts w:ascii="Times New Roman" w:eastAsia="Times New Roman" w:hAnsi="Times New Roman" w:cs="Times New Roman"/>
          <w:b/>
        </w:rPr>
        <w:t xml:space="preserve">. Porez na dobit </w:t>
      </w:r>
    </w:p>
    <w:p w14:paraId="761F230B" w14:textId="77777777" w:rsidR="00763305" w:rsidRPr="00A80C5E" w:rsidRDefault="00763305" w:rsidP="00131D13">
      <w:pPr>
        <w:keepNext/>
        <w:spacing w:after="0" w:line="240" w:lineRule="auto"/>
        <w:ind w:left="360" w:hanging="360"/>
        <w:outlineLvl w:val="1"/>
        <w:rPr>
          <w:rFonts w:ascii="Times New Roman" w:eastAsia="Times New Roman" w:hAnsi="Times New Roman" w:cs="Times New Roman"/>
          <w:b/>
        </w:rPr>
      </w:pPr>
    </w:p>
    <w:tbl>
      <w:tblPr>
        <w:tblStyle w:val="Tablicareetke2-isticanje3"/>
        <w:tblW w:w="4991" w:type="pct"/>
        <w:tblLook w:val="0000" w:firstRow="0" w:lastRow="0" w:firstColumn="0" w:lastColumn="0" w:noHBand="0" w:noVBand="0"/>
      </w:tblPr>
      <w:tblGrid>
        <w:gridCol w:w="5415"/>
        <w:gridCol w:w="3641"/>
      </w:tblGrid>
      <w:tr w:rsidR="00131D13" w:rsidRPr="00A80C5E" w14:paraId="0901DADB" w14:textId="77777777" w:rsidTr="00763305">
        <w:trPr>
          <w:cnfStyle w:val="000000100000" w:firstRow="0" w:lastRow="0" w:firstColumn="0" w:lastColumn="0" w:oddVBand="0" w:evenVBand="0" w:oddHBand="1" w:evenHBand="0" w:firstRowFirstColumn="0" w:firstRowLastColumn="0" w:lastRowFirstColumn="0" w:lastRowLastColumn="0"/>
          <w:trHeight w:val="429"/>
        </w:trPr>
        <w:tc>
          <w:tcPr>
            <w:cnfStyle w:val="000010000000" w:firstRow="0" w:lastRow="0" w:firstColumn="0" w:lastColumn="0" w:oddVBand="1" w:evenVBand="0" w:oddHBand="0" w:evenHBand="0" w:firstRowFirstColumn="0" w:firstRowLastColumn="0" w:lastRowFirstColumn="0" w:lastRowLastColumn="0"/>
            <w:tcW w:w="2990" w:type="pct"/>
          </w:tcPr>
          <w:p w14:paraId="04E9383E" w14:textId="7503974F" w:rsidR="00131D13" w:rsidRPr="00A80C5E" w:rsidRDefault="00763305" w:rsidP="002235D2">
            <w:pPr>
              <w:rPr>
                <w:rFonts w:ascii="Times New Roman" w:eastAsia="Times New Roman" w:hAnsi="Times New Roman" w:cs="Times New Roman"/>
                <w:b/>
              </w:rPr>
            </w:pPr>
            <w:r w:rsidRPr="00A80C5E">
              <w:rPr>
                <w:rFonts w:ascii="Times New Roman" w:eastAsia="Times New Roman" w:hAnsi="Times New Roman" w:cs="Times New Roman"/>
                <w:b/>
              </w:rPr>
              <w:t>Porez na dobit</w:t>
            </w:r>
          </w:p>
        </w:tc>
        <w:tc>
          <w:tcPr>
            <w:tcW w:w="2010" w:type="pct"/>
          </w:tcPr>
          <w:p w14:paraId="021F6211" w14:textId="6C0A1A39" w:rsidR="00131D13" w:rsidRPr="00A80C5E" w:rsidRDefault="00131D13" w:rsidP="007D3C7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A80C5E">
              <w:rPr>
                <w:rFonts w:ascii="Times New Roman" w:eastAsia="Times New Roman" w:hAnsi="Times New Roman" w:cs="Times New Roman"/>
                <w:b/>
                <w:lang w:val="en-US"/>
              </w:rPr>
              <w:t>20</w:t>
            </w:r>
            <w:r w:rsidR="00F23061" w:rsidRPr="00A80C5E">
              <w:rPr>
                <w:rFonts w:ascii="Times New Roman" w:eastAsia="Times New Roman" w:hAnsi="Times New Roman" w:cs="Times New Roman"/>
                <w:b/>
                <w:lang w:val="en-US"/>
              </w:rPr>
              <w:t>2</w:t>
            </w:r>
            <w:r w:rsidR="007D3C79" w:rsidRPr="00A80C5E">
              <w:rPr>
                <w:rFonts w:ascii="Times New Roman" w:eastAsia="Times New Roman" w:hAnsi="Times New Roman" w:cs="Times New Roman"/>
                <w:b/>
                <w:lang w:val="en-US"/>
              </w:rPr>
              <w:t>4</w:t>
            </w:r>
            <w:r w:rsidRPr="00A80C5E">
              <w:rPr>
                <w:rFonts w:ascii="Times New Roman" w:eastAsia="Times New Roman" w:hAnsi="Times New Roman" w:cs="Times New Roman"/>
                <w:b/>
                <w:lang w:val="en-US"/>
              </w:rPr>
              <w:t>.</w:t>
            </w:r>
          </w:p>
        </w:tc>
      </w:tr>
      <w:tr w:rsidR="00131D13" w:rsidRPr="00A80C5E" w14:paraId="661D136D"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2735AB46" w14:textId="77777777" w:rsidR="00131D13" w:rsidRPr="00A80C5E" w:rsidRDefault="00131D13" w:rsidP="002235D2">
            <w:pPr>
              <w:rPr>
                <w:rFonts w:ascii="Times New Roman" w:eastAsia="Times New Roman" w:hAnsi="Times New Roman" w:cs="Times New Roman"/>
              </w:rPr>
            </w:pPr>
            <w:r w:rsidRPr="00A80C5E">
              <w:rPr>
                <w:rFonts w:ascii="Times New Roman" w:eastAsia="Times New Roman" w:hAnsi="Times New Roman" w:cs="Times New Roman"/>
              </w:rPr>
              <w:t>Računovodstvena dobit prije oporezivanja</w:t>
            </w:r>
          </w:p>
        </w:tc>
        <w:tc>
          <w:tcPr>
            <w:tcW w:w="2010" w:type="pct"/>
          </w:tcPr>
          <w:p w14:paraId="50F8713D" w14:textId="00B3ED6B" w:rsidR="00131D13" w:rsidRPr="00A80C5E" w:rsidRDefault="007D3C79" w:rsidP="002235D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A80C5E">
              <w:rPr>
                <w:rFonts w:ascii="Times New Roman" w:eastAsia="Times New Roman" w:hAnsi="Times New Roman" w:cs="Times New Roman"/>
                <w:b/>
                <w:lang w:val="en-US"/>
              </w:rPr>
              <w:t>53.965,87</w:t>
            </w:r>
          </w:p>
        </w:tc>
      </w:tr>
      <w:tr w:rsidR="00131D13" w:rsidRPr="00A80C5E" w14:paraId="123C7C78"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047F3217" w14:textId="77777777" w:rsidR="00131D13" w:rsidRPr="00A80C5E" w:rsidRDefault="00674870" w:rsidP="002235D2">
            <w:pPr>
              <w:rPr>
                <w:rFonts w:ascii="Times New Roman" w:eastAsia="Times New Roman" w:hAnsi="Times New Roman" w:cs="Times New Roman"/>
              </w:rPr>
            </w:pPr>
            <w:r w:rsidRPr="00A80C5E">
              <w:rPr>
                <w:rFonts w:ascii="Times New Roman" w:eastAsia="Times New Roman" w:hAnsi="Times New Roman" w:cs="Times New Roman"/>
              </w:rPr>
              <w:t>Ukupno smanjenje dobiti</w:t>
            </w:r>
          </w:p>
        </w:tc>
        <w:tc>
          <w:tcPr>
            <w:tcW w:w="2010" w:type="pct"/>
          </w:tcPr>
          <w:p w14:paraId="1EB148A4" w14:textId="6FEFC82C" w:rsidR="00131D13" w:rsidRPr="00A80C5E" w:rsidRDefault="00131D13" w:rsidP="007D3C79">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A80C5E">
              <w:rPr>
                <w:rFonts w:ascii="Times New Roman" w:eastAsia="Times New Roman" w:hAnsi="Times New Roman" w:cs="Times New Roman"/>
                <w:lang w:val="en-US"/>
              </w:rPr>
              <w:t>(</w:t>
            </w:r>
            <w:r w:rsidR="007D3C79" w:rsidRPr="00A80C5E">
              <w:rPr>
                <w:rFonts w:ascii="Times New Roman" w:eastAsia="Times New Roman" w:hAnsi="Times New Roman" w:cs="Times New Roman"/>
                <w:lang w:val="en-US"/>
              </w:rPr>
              <w:t>6.909,28</w:t>
            </w:r>
            <w:r w:rsidRPr="00A80C5E">
              <w:rPr>
                <w:rFonts w:ascii="Times New Roman" w:eastAsia="Times New Roman" w:hAnsi="Times New Roman" w:cs="Times New Roman"/>
                <w:lang w:val="en-US"/>
              </w:rPr>
              <w:t>)</w:t>
            </w:r>
          </w:p>
        </w:tc>
      </w:tr>
      <w:tr w:rsidR="00131D13" w:rsidRPr="00A80C5E" w14:paraId="67046B2B"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357FC69C" w14:textId="77777777" w:rsidR="00131D13" w:rsidRPr="00A80C5E" w:rsidRDefault="00131D13" w:rsidP="002235D2">
            <w:pPr>
              <w:rPr>
                <w:rFonts w:ascii="Times New Roman" w:eastAsia="Times New Roman" w:hAnsi="Times New Roman" w:cs="Times New Roman"/>
                <w:lang w:eastAsia="hr-HR"/>
              </w:rPr>
            </w:pPr>
            <w:r w:rsidRPr="00A80C5E">
              <w:rPr>
                <w:rFonts w:ascii="Times New Roman" w:eastAsia="Times New Roman" w:hAnsi="Times New Roman" w:cs="Times New Roman"/>
                <w:lang w:eastAsia="hr-HR"/>
              </w:rPr>
              <w:t>Porezno nepriznati troškovi</w:t>
            </w:r>
            <w:r w:rsidR="00674870" w:rsidRPr="00A80C5E">
              <w:rPr>
                <w:rFonts w:ascii="Times New Roman" w:eastAsia="Times New Roman" w:hAnsi="Times New Roman" w:cs="Times New Roman"/>
                <w:lang w:eastAsia="hr-HR"/>
              </w:rPr>
              <w:t xml:space="preserve"> (povećanje dobiti)</w:t>
            </w:r>
          </w:p>
        </w:tc>
        <w:tc>
          <w:tcPr>
            <w:tcW w:w="2010" w:type="pct"/>
          </w:tcPr>
          <w:p w14:paraId="01F31F4D" w14:textId="707B978B" w:rsidR="00131D13" w:rsidRPr="00A80C5E" w:rsidRDefault="007D3C79" w:rsidP="00F2306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t-IT"/>
              </w:rPr>
            </w:pPr>
            <w:r w:rsidRPr="00A80C5E">
              <w:rPr>
                <w:rFonts w:ascii="Times New Roman" w:eastAsia="Times New Roman" w:hAnsi="Times New Roman" w:cs="Times New Roman"/>
                <w:lang w:val="it-IT"/>
              </w:rPr>
              <w:t>22.663,15</w:t>
            </w:r>
          </w:p>
        </w:tc>
      </w:tr>
      <w:tr w:rsidR="00131D13" w:rsidRPr="00A80C5E" w14:paraId="7B30148E"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2F90322E" w14:textId="77777777" w:rsidR="00131D13" w:rsidRPr="00A80C5E" w:rsidRDefault="00131D13" w:rsidP="002235D2">
            <w:pPr>
              <w:rPr>
                <w:rFonts w:ascii="Times New Roman" w:eastAsia="Times New Roman" w:hAnsi="Times New Roman" w:cs="Times New Roman"/>
                <w:b/>
                <w:bCs/>
              </w:rPr>
            </w:pPr>
            <w:r w:rsidRPr="00A80C5E">
              <w:rPr>
                <w:rFonts w:ascii="Times New Roman" w:eastAsia="Times New Roman" w:hAnsi="Times New Roman" w:cs="Times New Roman"/>
                <w:b/>
                <w:bCs/>
              </w:rPr>
              <w:t>Porezna osnovica</w:t>
            </w:r>
          </w:p>
        </w:tc>
        <w:tc>
          <w:tcPr>
            <w:tcW w:w="2010" w:type="pct"/>
          </w:tcPr>
          <w:p w14:paraId="49E1EC39" w14:textId="2150C513" w:rsidR="00131D13" w:rsidRPr="00A80C5E" w:rsidRDefault="007D3C79" w:rsidP="002235D2">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A80C5E">
              <w:rPr>
                <w:rFonts w:ascii="Times New Roman" w:eastAsia="Times New Roman" w:hAnsi="Times New Roman" w:cs="Times New Roman"/>
                <w:b/>
                <w:lang w:val="en-US"/>
              </w:rPr>
              <w:t>69.719,74</w:t>
            </w:r>
          </w:p>
        </w:tc>
      </w:tr>
      <w:tr w:rsidR="00131D13" w:rsidRPr="00A80C5E" w14:paraId="2B42DDB6"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7E918138" w14:textId="77777777" w:rsidR="00131D13" w:rsidRPr="00A80C5E" w:rsidRDefault="00131D13" w:rsidP="002235D2">
            <w:pPr>
              <w:rPr>
                <w:rFonts w:ascii="Times New Roman" w:eastAsia="Times New Roman" w:hAnsi="Times New Roman" w:cs="Times New Roman"/>
                <w:b/>
                <w:bCs/>
              </w:rPr>
            </w:pPr>
            <w:r w:rsidRPr="00A80C5E">
              <w:rPr>
                <w:rFonts w:ascii="Times New Roman" w:eastAsia="Times New Roman" w:hAnsi="Times New Roman" w:cs="Times New Roman"/>
                <w:b/>
                <w:bCs/>
              </w:rPr>
              <w:t>Porezna stopa</w:t>
            </w:r>
          </w:p>
        </w:tc>
        <w:tc>
          <w:tcPr>
            <w:tcW w:w="2010" w:type="pct"/>
          </w:tcPr>
          <w:p w14:paraId="2F174871" w14:textId="77777777" w:rsidR="00131D13" w:rsidRPr="00A80C5E" w:rsidRDefault="00131D13" w:rsidP="002235D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A80C5E">
              <w:rPr>
                <w:rFonts w:ascii="Times New Roman" w:eastAsia="Times New Roman" w:hAnsi="Times New Roman" w:cs="Times New Roman"/>
                <w:b/>
                <w:lang w:val="en-US"/>
              </w:rPr>
              <w:t>18%</w:t>
            </w:r>
          </w:p>
        </w:tc>
      </w:tr>
      <w:tr w:rsidR="00131D13" w:rsidRPr="00A80C5E" w14:paraId="6A49DC25"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3F404D9C" w14:textId="77777777" w:rsidR="00131D13" w:rsidRPr="00A80C5E" w:rsidRDefault="00131D13" w:rsidP="002235D2">
            <w:pPr>
              <w:rPr>
                <w:rFonts w:ascii="Times New Roman" w:eastAsia="Times New Roman" w:hAnsi="Times New Roman" w:cs="Times New Roman"/>
                <w:b/>
                <w:bCs/>
              </w:rPr>
            </w:pPr>
            <w:r w:rsidRPr="00A80C5E">
              <w:rPr>
                <w:rFonts w:ascii="Times New Roman" w:eastAsia="Times New Roman" w:hAnsi="Times New Roman" w:cs="Times New Roman"/>
                <w:b/>
                <w:bCs/>
              </w:rPr>
              <w:t xml:space="preserve">Porezna obveza </w:t>
            </w:r>
          </w:p>
        </w:tc>
        <w:tc>
          <w:tcPr>
            <w:tcW w:w="2010" w:type="pct"/>
          </w:tcPr>
          <w:p w14:paraId="20EE1FE2" w14:textId="6FB12AB2" w:rsidR="00131D13" w:rsidRPr="00A80C5E" w:rsidRDefault="007D3C79" w:rsidP="002235D2">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A80C5E">
              <w:rPr>
                <w:rFonts w:ascii="Times New Roman" w:eastAsia="Times New Roman" w:hAnsi="Times New Roman" w:cs="Times New Roman"/>
                <w:b/>
                <w:lang w:val="en-US"/>
              </w:rPr>
              <w:t>12.549,55</w:t>
            </w:r>
          </w:p>
        </w:tc>
      </w:tr>
      <w:tr w:rsidR="00763305" w:rsidRPr="00A80C5E" w14:paraId="031C6004"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04321F22" w14:textId="4513CB79" w:rsidR="00763305" w:rsidRPr="00A80C5E" w:rsidRDefault="00763305" w:rsidP="002235D2">
            <w:pPr>
              <w:rPr>
                <w:rFonts w:ascii="Times New Roman" w:eastAsia="Times New Roman" w:hAnsi="Times New Roman" w:cs="Times New Roman"/>
                <w:b/>
                <w:bCs/>
              </w:rPr>
            </w:pPr>
            <w:r w:rsidRPr="00A80C5E">
              <w:rPr>
                <w:rFonts w:ascii="Times New Roman" w:eastAsia="Times New Roman" w:hAnsi="Times New Roman" w:cs="Times New Roman"/>
                <w:b/>
                <w:bCs/>
              </w:rPr>
              <w:t>Dobit poreznog razdoblja</w:t>
            </w:r>
          </w:p>
        </w:tc>
        <w:tc>
          <w:tcPr>
            <w:tcW w:w="2010" w:type="pct"/>
          </w:tcPr>
          <w:p w14:paraId="11E1162C" w14:textId="2D6FCCAC" w:rsidR="00763305" w:rsidRPr="00A80C5E" w:rsidRDefault="007D3C79" w:rsidP="002235D2">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A80C5E">
              <w:rPr>
                <w:rFonts w:ascii="Times New Roman" w:eastAsia="Times New Roman" w:hAnsi="Times New Roman" w:cs="Times New Roman"/>
                <w:b/>
                <w:lang w:val="en-US"/>
              </w:rPr>
              <w:t>41.416,32</w:t>
            </w:r>
          </w:p>
        </w:tc>
      </w:tr>
    </w:tbl>
    <w:p w14:paraId="1AC4ED88" w14:textId="77777777" w:rsidR="005708B4" w:rsidRPr="00A80C5E" w:rsidRDefault="00131D13" w:rsidP="005708B4">
      <w:pPr>
        <w:spacing w:after="0" w:line="240" w:lineRule="auto"/>
        <w:jc w:val="right"/>
        <w:rPr>
          <w:rFonts w:ascii="Times New Roman" w:eastAsia="Times New Roman" w:hAnsi="Times New Roman" w:cs="Times New Roman"/>
          <w:b/>
        </w:rPr>
      </w:pPr>
      <w:r w:rsidRPr="00A80C5E">
        <w:rPr>
          <w:rFonts w:ascii="Times New Roman" w:eastAsia="Times New Roman" w:hAnsi="Times New Roman" w:cs="Times New Roman"/>
          <w:b/>
        </w:rPr>
        <w:tab/>
      </w:r>
    </w:p>
    <w:p w14:paraId="4BF18009" w14:textId="1ED29293" w:rsidR="00131D13" w:rsidRPr="00A80C5E" w:rsidRDefault="00DE7202" w:rsidP="00131D13">
      <w:pPr>
        <w:spacing w:after="0" w:line="240" w:lineRule="auto"/>
        <w:jc w:val="both"/>
        <w:rPr>
          <w:rFonts w:ascii="Times New Roman" w:eastAsia="Times New Roman" w:hAnsi="Times New Roman" w:cs="Times New Roman"/>
          <w:b/>
        </w:rPr>
      </w:pPr>
      <w:r w:rsidRPr="00A80C5E">
        <w:rPr>
          <w:rFonts w:ascii="Times New Roman" w:eastAsia="Times New Roman" w:hAnsi="Times New Roman" w:cs="Times New Roman"/>
          <w:b/>
        </w:rPr>
        <w:t>Bilješke 2</w:t>
      </w:r>
      <w:r w:rsidR="00C565D4" w:rsidRPr="00A80C5E">
        <w:rPr>
          <w:rFonts w:ascii="Times New Roman" w:eastAsia="Times New Roman" w:hAnsi="Times New Roman" w:cs="Times New Roman"/>
          <w:b/>
        </w:rPr>
        <w:t>7</w:t>
      </w:r>
      <w:r w:rsidRPr="00A80C5E">
        <w:rPr>
          <w:rFonts w:ascii="Times New Roman" w:eastAsia="Times New Roman" w:hAnsi="Times New Roman" w:cs="Times New Roman"/>
          <w:b/>
        </w:rPr>
        <w:t>. Upravljanje financijskim rizicima</w:t>
      </w:r>
    </w:p>
    <w:p w14:paraId="22BACD47" w14:textId="77777777" w:rsidR="00DE7202" w:rsidRPr="00A80C5E" w:rsidRDefault="00DE7202" w:rsidP="00131D13">
      <w:pPr>
        <w:spacing w:after="0" w:line="240" w:lineRule="auto"/>
        <w:jc w:val="both"/>
        <w:rPr>
          <w:rFonts w:ascii="Times New Roman" w:eastAsia="Times New Roman" w:hAnsi="Times New Roman" w:cs="Times New Roman"/>
          <w:b/>
        </w:rPr>
      </w:pPr>
    </w:p>
    <w:p w14:paraId="0D9ED4CA" w14:textId="03C4FA9D" w:rsidR="00DE7202" w:rsidRPr="00A80C5E" w:rsidRDefault="00DE7202" w:rsidP="00131D13">
      <w:pPr>
        <w:spacing w:after="0" w:line="240" w:lineRule="auto"/>
        <w:jc w:val="both"/>
        <w:rPr>
          <w:rFonts w:ascii="Times New Roman" w:eastAsia="Times New Roman" w:hAnsi="Times New Roman" w:cs="Times New Roman"/>
        </w:rPr>
      </w:pPr>
      <w:r w:rsidRPr="00A80C5E">
        <w:rPr>
          <w:rFonts w:ascii="Times New Roman" w:eastAsia="Times New Roman" w:hAnsi="Times New Roman" w:cs="Times New Roman"/>
        </w:rPr>
        <w:t>Faktor financijskog rizika</w:t>
      </w:r>
    </w:p>
    <w:p w14:paraId="7B8A4D50" w14:textId="77777777" w:rsidR="00DE7202" w:rsidRPr="00A80C5E" w:rsidRDefault="00DE7202" w:rsidP="00131D13">
      <w:pPr>
        <w:spacing w:after="0" w:line="240" w:lineRule="auto"/>
        <w:jc w:val="both"/>
        <w:rPr>
          <w:rFonts w:ascii="Times New Roman" w:eastAsia="Times New Roman" w:hAnsi="Times New Roman" w:cs="Times New Roman"/>
        </w:rPr>
      </w:pPr>
    </w:p>
    <w:p w14:paraId="36CF18F3" w14:textId="5E9420C0" w:rsidR="00DE7202" w:rsidRPr="00A80C5E" w:rsidRDefault="00DE7202" w:rsidP="00131D13">
      <w:pPr>
        <w:spacing w:after="0" w:line="240" w:lineRule="auto"/>
        <w:jc w:val="both"/>
        <w:rPr>
          <w:rFonts w:ascii="Times New Roman" w:eastAsia="Times New Roman" w:hAnsi="Times New Roman" w:cs="Times New Roman"/>
        </w:rPr>
      </w:pPr>
      <w:r w:rsidRPr="00A80C5E">
        <w:rPr>
          <w:rFonts w:ascii="Times New Roman" w:eastAsia="Times New Roman" w:hAnsi="Times New Roman" w:cs="Times New Roman"/>
        </w:rPr>
        <w:t>Aktivnosti kojima se Društvo bavi izlažu ga financijskim rizicima, uključujući učinke promjena tržišnih cijena, deviznog tečaja i kamatnih stopa.</w:t>
      </w:r>
    </w:p>
    <w:p w14:paraId="2E6763B8" w14:textId="77777777" w:rsidR="00631C11" w:rsidRPr="00A80C5E" w:rsidRDefault="00631C11" w:rsidP="00131D13">
      <w:pPr>
        <w:spacing w:after="0" w:line="240" w:lineRule="auto"/>
        <w:jc w:val="both"/>
        <w:rPr>
          <w:rFonts w:ascii="Times New Roman" w:eastAsia="Times New Roman" w:hAnsi="Times New Roman" w:cs="Times New Roman"/>
        </w:rPr>
      </w:pPr>
    </w:p>
    <w:p w14:paraId="4547574C" w14:textId="77777777" w:rsidR="00631C11" w:rsidRPr="00A80C5E" w:rsidRDefault="00631C11" w:rsidP="00631C11">
      <w:pPr>
        <w:pStyle w:val="Odlomakpopisa"/>
        <w:numPr>
          <w:ilvl w:val="0"/>
          <w:numId w:val="5"/>
        </w:numPr>
        <w:spacing w:line="240" w:lineRule="auto"/>
        <w:ind w:hanging="720"/>
        <w:rPr>
          <w:rFonts w:ascii="Times New Roman" w:eastAsia="Times New Roman" w:hAnsi="Times New Roman"/>
          <w:b/>
        </w:rPr>
      </w:pPr>
      <w:r w:rsidRPr="00A80C5E">
        <w:rPr>
          <w:rFonts w:ascii="Times New Roman" w:eastAsia="Times New Roman" w:hAnsi="Times New Roman"/>
          <w:b/>
        </w:rPr>
        <w:t>Valutni i kamatni rizik</w:t>
      </w:r>
    </w:p>
    <w:p w14:paraId="5CECDF91" w14:textId="77777777" w:rsidR="00631C11" w:rsidRPr="00A80C5E" w:rsidRDefault="00631C11" w:rsidP="00631C11">
      <w:pPr>
        <w:spacing w:after="0" w:line="240" w:lineRule="auto"/>
        <w:jc w:val="both"/>
        <w:rPr>
          <w:rFonts w:ascii="Times New Roman" w:eastAsia="Times New Roman" w:hAnsi="Times New Roman" w:cs="Times New Roman"/>
          <w:bCs/>
        </w:rPr>
      </w:pPr>
    </w:p>
    <w:p w14:paraId="0649992B" w14:textId="59508FC8" w:rsidR="00631C11" w:rsidRPr="00A80C5E" w:rsidRDefault="00631C11" w:rsidP="00631C11">
      <w:pPr>
        <w:spacing w:after="0" w:line="240" w:lineRule="auto"/>
        <w:jc w:val="both"/>
        <w:rPr>
          <w:rFonts w:ascii="Times New Roman" w:eastAsia="Times New Roman" w:hAnsi="Times New Roman" w:cs="Times New Roman"/>
          <w:bCs/>
        </w:rPr>
      </w:pPr>
      <w:r w:rsidRPr="00A80C5E">
        <w:rPr>
          <w:rFonts w:ascii="Times New Roman" w:eastAsia="Times New Roman" w:hAnsi="Times New Roman" w:cs="Times New Roman"/>
          <w:bCs/>
        </w:rPr>
        <w:t xml:space="preserve">Prihod od prodaje na domaćem tržištu je ostvaren u </w:t>
      </w:r>
      <w:r w:rsidR="004D4AD1" w:rsidRPr="00A80C5E">
        <w:rPr>
          <w:rFonts w:ascii="Times New Roman" w:eastAsia="Times New Roman" w:hAnsi="Times New Roman" w:cs="Times New Roman"/>
          <w:bCs/>
        </w:rPr>
        <w:t>EUR</w:t>
      </w:r>
      <w:r w:rsidRPr="00A80C5E">
        <w:rPr>
          <w:rFonts w:ascii="Times New Roman" w:eastAsia="Times New Roman" w:hAnsi="Times New Roman" w:cs="Times New Roman"/>
          <w:bCs/>
        </w:rPr>
        <w:t>, stoga s navedene osnove nema rizika od promjene tečaja.</w:t>
      </w:r>
    </w:p>
    <w:p w14:paraId="5085B1C7" w14:textId="77777777" w:rsidR="00631C11" w:rsidRPr="00A80C5E" w:rsidRDefault="00631C11" w:rsidP="00631C11">
      <w:pPr>
        <w:spacing w:after="0" w:line="240" w:lineRule="auto"/>
        <w:jc w:val="both"/>
        <w:rPr>
          <w:rFonts w:ascii="Times New Roman" w:eastAsia="Times New Roman" w:hAnsi="Times New Roman" w:cs="Times New Roman"/>
          <w:bCs/>
        </w:rPr>
      </w:pPr>
      <w:r w:rsidRPr="00A80C5E">
        <w:rPr>
          <w:rFonts w:ascii="Times New Roman" w:eastAsia="Times New Roman" w:hAnsi="Times New Roman" w:cs="Times New Roman"/>
          <w:bCs/>
        </w:rPr>
        <w:t>Kamatni rizik je rizik od promjene vrijednosti financijskih instrumenta uslijed promjene tržišnih kamatnih stopa.  Kamatni rizik povezuje se s promjenjivim kamatnim stopama na primljene kredite.</w:t>
      </w:r>
    </w:p>
    <w:p w14:paraId="3402111C" w14:textId="77777777" w:rsidR="00631C11" w:rsidRPr="00A80C5E" w:rsidRDefault="00631C11" w:rsidP="00631C11">
      <w:pPr>
        <w:spacing w:after="0" w:line="240" w:lineRule="auto"/>
        <w:rPr>
          <w:rFonts w:ascii="Times New Roman" w:eastAsia="Times New Roman" w:hAnsi="Times New Roman" w:cs="Times New Roman"/>
          <w:bCs/>
        </w:rPr>
      </w:pPr>
    </w:p>
    <w:p w14:paraId="4E5735A3" w14:textId="77777777" w:rsidR="00631C11" w:rsidRPr="00A80C5E" w:rsidRDefault="00631C11" w:rsidP="00631C11">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t>b)</w:t>
      </w:r>
      <w:r w:rsidRPr="00A80C5E">
        <w:rPr>
          <w:rFonts w:ascii="Times New Roman" w:eastAsia="Times New Roman" w:hAnsi="Times New Roman" w:cs="Times New Roman"/>
          <w:b/>
        </w:rPr>
        <w:tab/>
        <w:t>Kreditni rizik</w:t>
      </w:r>
    </w:p>
    <w:p w14:paraId="02B19F96" w14:textId="77777777" w:rsidR="00631C11" w:rsidRPr="00A80C5E" w:rsidRDefault="00631C11" w:rsidP="00631C11">
      <w:pPr>
        <w:spacing w:after="0" w:line="240" w:lineRule="auto"/>
        <w:rPr>
          <w:rFonts w:ascii="Times New Roman" w:eastAsia="Times New Roman" w:hAnsi="Times New Roman" w:cs="Times New Roman"/>
          <w:bCs/>
        </w:rPr>
      </w:pPr>
    </w:p>
    <w:p w14:paraId="7343EA26" w14:textId="77777777" w:rsidR="00631C11" w:rsidRPr="00A80C5E" w:rsidRDefault="00631C11" w:rsidP="00631C11">
      <w:pPr>
        <w:spacing w:after="0" w:line="240" w:lineRule="auto"/>
        <w:jc w:val="both"/>
        <w:rPr>
          <w:rFonts w:ascii="Times New Roman" w:eastAsia="Times New Roman" w:hAnsi="Times New Roman" w:cs="Times New Roman"/>
          <w:bCs/>
        </w:rPr>
      </w:pPr>
      <w:r w:rsidRPr="00A80C5E">
        <w:rPr>
          <w:rFonts w:ascii="Times New Roman" w:eastAsia="Times New Roman" w:hAnsi="Times New Roman" w:cs="Times New Roman"/>
          <w:bCs/>
        </w:rPr>
        <w:t>Osnovna financijska imovina koja potencijalno može izložiti Društvo kreditnom riziku obuhvaća novac, potraživanja od kupaca i ostala potraživanja.</w:t>
      </w:r>
    </w:p>
    <w:p w14:paraId="6D144A8B" w14:textId="77777777" w:rsidR="00631C11" w:rsidRPr="00A80C5E" w:rsidRDefault="00631C11" w:rsidP="00631C11">
      <w:pPr>
        <w:spacing w:after="0" w:line="240" w:lineRule="auto"/>
        <w:jc w:val="both"/>
        <w:rPr>
          <w:rFonts w:ascii="Times New Roman" w:eastAsia="Times New Roman" w:hAnsi="Times New Roman" w:cs="Times New Roman"/>
          <w:bCs/>
        </w:rPr>
      </w:pPr>
      <w:r w:rsidRPr="00A80C5E">
        <w:rPr>
          <w:rFonts w:ascii="Times New Roman" w:eastAsia="Times New Roman" w:hAnsi="Times New Roman" w:cs="Times New Roman"/>
          <w:bCs/>
        </w:rPr>
        <w:t>Kreditni rizik je onaj koji nastaje pri ulaganju novčanih sredstava u financijske plasmane. Sastoji se od opasnosti da se uložena sredstva neće vratiti, da se neće vratiti u cijelosti, odnosno da se neće vratiti planiranom dinamikom.</w:t>
      </w:r>
    </w:p>
    <w:p w14:paraId="3E7CA64A" w14:textId="77777777" w:rsidR="00631C11" w:rsidRPr="00A80C5E" w:rsidRDefault="00631C11" w:rsidP="00631C11">
      <w:pPr>
        <w:spacing w:after="0" w:line="240" w:lineRule="auto"/>
        <w:jc w:val="both"/>
        <w:rPr>
          <w:rFonts w:ascii="Times New Roman" w:eastAsia="Times New Roman" w:hAnsi="Times New Roman" w:cs="Times New Roman"/>
          <w:bCs/>
        </w:rPr>
      </w:pPr>
    </w:p>
    <w:p w14:paraId="4F043F05" w14:textId="77777777" w:rsidR="00631C11" w:rsidRPr="00A80C5E" w:rsidRDefault="00631C11" w:rsidP="00631C11">
      <w:pPr>
        <w:spacing w:after="0" w:line="240" w:lineRule="auto"/>
        <w:jc w:val="both"/>
        <w:rPr>
          <w:rFonts w:ascii="Times New Roman" w:eastAsia="Times New Roman" w:hAnsi="Times New Roman" w:cs="Times New Roman"/>
          <w:bCs/>
        </w:rPr>
      </w:pPr>
      <w:r w:rsidRPr="00A80C5E">
        <w:rPr>
          <w:rFonts w:ascii="Times New Roman" w:eastAsia="Times New Roman" w:hAnsi="Times New Roman" w:cs="Times New Roman"/>
          <w:bCs/>
        </w:rPr>
        <w:t>Potraživanja od kupaca su ispravljena za umanjenje vrijednosti potraživanja koja su nenadoknadiva. Koncentracija kreditnog rizika vezano uz potraživanja od kupaca limitirana je velikim brojem različitih kupaca. Kreditni limiti kupaca redovito se provjeravaju i usklađuju.</w:t>
      </w:r>
    </w:p>
    <w:p w14:paraId="70F2905C" w14:textId="77777777" w:rsidR="00631C11" w:rsidRPr="00A80C5E" w:rsidRDefault="00631C11" w:rsidP="00631C11">
      <w:pPr>
        <w:spacing w:after="0" w:line="240" w:lineRule="auto"/>
        <w:jc w:val="both"/>
        <w:rPr>
          <w:rFonts w:ascii="Times New Roman" w:eastAsia="Times New Roman" w:hAnsi="Times New Roman" w:cs="Times New Roman"/>
          <w:bCs/>
        </w:rPr>
      </w:pPr>
    </w:p>
    <w:p w14:paraId="227981A1" w14:textId="77777777" w:rsidR="00DE3E13" w:rsidRPr="00A80C5E" w:rsidRDefault="00DE3E13" w:rsidP="00A81432">
      <w:pPr>
        <w:spacing w:after="0" w:line="240" w:lineRule="auto"/>
        <w:jc w:val="right"/>
        <w:rPr>
          <w:rFonts w:ascii="Times New Roman" w:eastAsia="Times New Roman" w:hAnsi="Times New Roman" w:cs="Times New Roman"/>
        </w:rPr>
      </w:pPr>
    </w:p>
    <w:p w14:paraId="2A6EB7B6" w14:textId="77777777" w:rsidR="00DE3E13" w:rsidRPr="00A80C5E" w:rsidRDefault="00DE3E13" w:rsidP="00A81432">
      <w:pPr>
        <w:spacing w:after="0" w:line="240" w:lineRule="auto"/>
        <w:jc w:val="right"/>
        <w:rPr>
          <w:rFonts w:ascii="Times New Roman" w:eastAsia="Times New Roman" w:hAnsi="Times New Roman" w:cs="Times New Roman"/>
        </w:rPr>
      </w:pPr>
    </w:p>
    <w:p w14:paraId="748A79C3" w14:textId="77777777" w:rsidR="00DE3E13" w:rsidRPr="00A80C5E" w:rsidRDefault="00DE3E13" w:rsidP="00A81432">
      <w:pPr>
        <w:spacing w:after="0" w:line="240" w:lineRule="auto"/>
        <w:jc w:val="right"/>
        <w:rPr>
          <w:rFonts w:ascii="Times New Roman" w:eastAsia="Times New Roman" w:hAnsi="Times New Roman" w:cs="Times New Roman"/>
        </w:rPr>
      </w:pPr>
    </w:p>
    <w:p w14:paraId="7F6E13F7" w14:textId="77777777" w:rsidR="00DE3E13" w:rsidRPr="00A80C5E" w:rsidRDefault="00DE3E13" w:rsidP="00A81432">
      <w:pPr>
        <w:spacing w:after="0" w:line="240" w:lineRule="auto"/>
        <w:jc w:val="right"/>
        <w:rPr>
          <w:rFonts w:ascii="Times New Roman" w:eastAsia="Times New Roman" w:hAnsi="Times New Roman" w:cs="Times New Roman"/>
        </w:rPr>
      </w:pPr>
    </w:p>
    <w:p w14:paraId="3D00DAC0" w14:textId="77777777" w:rsidR="00DE3E13" w:rsidRPr="00A80C5E" w:rsidRDefault="00DE3E13" w:rsidP="00A81432">
      <w:pPr>
        <w:spacing w:after="0" w:line="240" w:lineRule="auto"/>
        <w:jc w:val="right"/>
        <w:rPr>
          <w:rFonts w:ascii="Times New Roman" w:eastAsia="Times New Roman" w:hAnsi="Times New Roman" w:cs="Times New Roman"/>
        </w:rPr>
      </w:pPr>
    </w:p>
    <w:p w14:paraId="2EFC3410" w14:textId="1330C956" w:rsidR="00A81432" w:rsidRPr="00A80C5E" w:rsidRDefault="00A81432" w:rsidP="00A81432">
      <w:pPr>
        <w:spacing w:after="0" w:line="240" w:lineRule="auto"/>
        <w:jc w:val="right"/>
        <w:rPr>
          <w:rFonts w:ascii="Times New Roman" w:eastAsia="Times New Roman" w:hAnsi="Times New Roman" w:cs="Times New Roman"/>
        </w:rPr>
      </w:pPr>
      <w:r w:rsidRPr="00A80C5E">
        <w:rPr>
          <w:rFonts w:ascii="Times New Roman" w:eastAsia="Times New Roman" w:hAnsi="Times New Roman" w:cs="Times New Roman"/>
        </w:rPr>
        <w:t>14</w:t>
      </w:r>
    </w:p>
    <w:p w14:paraId="1C661498" w14:textId="77777777" w:rsidR="00A81432" w:rsidRPr="00A80C5E" w:rsidRDefault="00A81432" w:rsidP="00631C11">
      <w:pPr>
        <w:spacing w:after="0" w:line="240" w:lineRule="auto"/>
        <w:rPr>
          <w:rFonts w:ascii="Times New Roman" w:eastAsia="Times New Roman" w:hAnsi="Times New Roman" w:cs="Times New Roman"/>
          <w:b/>
        </w:rPr>
      </w:pPr>
    </w:p>
    <w:p w14:paraId="234A0D26" w14:textId="77777777" w:rsidR="00DE3E13" w:rsidRPr="00A80C5E" w:rsidRDefault="00DE3E13" w:rsidP="00631C11">
      <w:pPr>
        <w:spacing w:after="0" w:line="240" w:lineRule="auto"/>
        <w:rPr>
          <w:rFonts w:ascii="Times New Roman" w:eastAsia="Times New Roman" w:hAnsi="Times New Roman" w:cs="Times New Roman"/>
          <w:b/>
        </w:rPr>
      </w:pPr>
    </w:p>
    <w:p w14:paraId="7E2E3013" w14:textId="77777777" w:rsidR="00631C11" w:rsidRPr="00A80C5E" w:rsidRDefault="00631C11" w:rsidP="00631C11">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t>c)</w:t>
      </w:r>
      <w:r w:rsidRPr="00A80C5E">
        <w:rPr>
          <w:rFonts w:ascii="Times New Roman" w:eastAsia="Times New Roman" w:hAnsi="Times New Roman" w:cs="Times New Roman"/>
          <w:b/>
        </w:rPr>
        <w:tab/>
        <w:t>Rizik likvidnosti</w:t>
      </w:r>
    </w:p>
    <w:p w14:paraId="4CF757CA" w14:textId="77777777" w:rsidR="00631C11" w:rsidRPr="00A80C5E" w:rsidRDefault="00631C11" w:rsidP="00631C11">
      <w:pPr>
        <w:spacing w:after="0" w:line="240" w:lineRule="auto"/>
        <w:rPr>
          <w:rFonts w:ascii="Times New Roman" w:eastAsia="Times New Roman" w:hAnsi="Times New Roman" w:cs="Times New Roman"/>
          <w:bCs/>
        </w:rPr>
      </w:pPr>
    </w:p>
    <w:p w14:paraId="47EFC935" w14:textId="77777777" w:rsidR="00631C11" w:rsidRPr="00A80C5E" w:rsidRDefault="00631C11" w:rsidP="00631C11">
      <w:pPr>
        <w:spacing w:after="0" w:line="240" w:lineRule="auto"/>
        <w:jc w:val="both"/>
        <w:rPr>
          <w:rFonts w:ascii="Times New Roman" w:eastAsia="Times New Roman" w:hAnsi="Times New Roman" w:cs="Times New Roman"/>
          <w:bCs/>
        </w:rPr>
      </w:pPr>
      <w:r w:rsidRPr="00A80C5E">
        <w:rPr>
          <w:rFonts w:ascii="Times New Roman" w:eastAsia="Times New Roman" w:hAnsi="Times New Roman" w:cs="Times New Roman"/>
          <w:bCs/>
        </w:rPr>
        <w:t xml:space="preserve">Rizik likvidnosti i rizik tijeka gotovine, koji se smatraju rizikom financiranja, određuju se kao opasnost od neusklađenosti dospjelih sredstava i obveza prema izvorima sredstava, što za posljedicu ima teškoće s likvidnošću, odnosno nedostatkom novčanih sredstava za podmirenje dospjelih obveza. </w:t>
      </w:r>
    </w:p>
    <w:p w14:paraId="021392C4" w14:textId="77777777" w:rsidR="00631C11" w:rsidRPr="00A80C5E" w:rsidRDefault="00631C11" w:rsidP="00631C11">
      <w:pPr>
        <w:spacing w:after="0" w:line="240" w:lineRule="auto"/>
        <w:jc w:val="both"/>
        <w:rPr>
          <w:rFonts w:ascii="Times New Roman" w:eastAsia="Times New Roman" w:hAnsi="Times New Roman" w:cs="Times New Roman"/>
          <w:bCs/>
        </w:rPr>
      </w:pPr>
      <w:r w:rsidRPr="00A80C5E">
        <w:rPr>
          <w:rFonts w:ascii="Times New Roman" w:eastAsia="Times New Roman" w:hAnsi="Times New Roman" w:cs="Times New Roman"/>
          <w:bCs/>
        </w:rPr>
        <w:t>Uprava veliku pozornost obraća na tok novca, prateći stvarne dnevne promjene, kako se rizik likvidnosti ne bi pogoršavao.</w:t>
      </w:r>
    </w:p>
    <w:p w14:paraId="38408809" w14:textId="77777777" w:rsidR="00631C11" w:rsidRPr="00A80C5E" w:rsidRDefault="00631C11" w:rsidP="00631C11">
      <w:pPr>
        <w:spacing w:after="0" w:line="240" w:lineRule="auto"/>
        <w:jc w:val="both"/>
        <w:rPr>
          <w:rFonts w:ascii="Times New Roman" w:eastAsia="Times New Roman" w:hAnsi="Times New Roman" w:cs="Times New Roman"/>
          <w:bCs/>
        </w:rPr>
      </w:pPr>
    </w:p>
    <w:p w14:paraId="778B1FDE" w14:textId="77777777" w:rsidR="00631C11" w:rsidRPr="00A80C5E" w:rsidRDefault="00631C11" w:rsidP="00631C11">
      <w:pPr>
        <w:spacing w:after="0" w:line="240" w:lineRule="auto"/>
        <w:rPr>
          <w:rFonts w:ascii="Times New Roman" w:eastAsia="Times New Roman" w:hAnsi="Times New Roman" w:cs="Times New Roman"/>
          <w:bCs/>
        </w:rPr>
      </w:pPr>
    </w:p>
    <w:p w14:paraId="2F528CB9" w14:textId="38977A1B" w:rsidR="00631C11" w:rsidRPr="00A80C5E" w:rsidRDefault="00631C11" w:rsidP="00631C11">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t xml:space="preserve">Bilješka </w:t>
      </w:r>
      <w:r w:rsidR="00590D4A" w:rsidRPr="00A80C5E">
        <w:rPr>
          <w:rFonts w:ascii="Times New Roman" w:eastAsia="Times New Roman" w:hAnsi="Times New Roman" w:cs="Times New Roman"/>
          <w:b/>
        </w:rPr>
        <w:t>2</w:t>
      </w:r>
      <w:r w:rsidR="00C565D4" w:rsidRPr="00A80C5E">
        <w:rPr>
          <w:rFonts w:ascii="Times New Roman" w:eastAsia="Times New Roman" w:hAnsi="Times New Roman" w:cs="Times New Roman"/>
          <w:b/>
        </w:rPr>
        <w:t>8</w:t>
      </w:r>
      <w:r w:rsidRPr="00A80C5E">
        <w:rPr>
          <w:rFonts w:ascii="Times New Roman" w:eastAsia="Times New Roman" w:hAnsi="Times New Roman" w:cs="Times New Roman"/>
          <w:b/>
        </w:rPr>
        <w:t>.</w:t>
      </w:r>
      <w:r w:rsidRPr="00A80C5E">
        <w:rPr>
          <w:rFonts w:ascii="Times New Roman" w:eastAsia="Times New Roman" w:hAnsi="Times New Roman" w:cs="Times New Roman"/>
          <w:b/>
        </w:rPr>
        <w:tab/>
        <w:t>Značajne računovodstvene procjene i prosudbe</w:t>
      </w:r>
    </w:p>
    <w:p w14:paraId="0CED5F77" w14:textId="77777777" w:rsidR="00631C11" w:rsidRPr="00A80C5E" w:rsidRDefault="00631C11" w:rsidP="00631C11">
      <w:pPr>
        <w:spacing w:after="0" w:line="240" w:lineRule="auto"/>
        <w:rPr>
          <w:rFonts w:ascii="Times New Roman" w:eastAsia="Times New Roman" w:hAnsi="Times New Roman" w:cs="Times New Roman"/>
          <w:bCs/>
        </w:rPr>
      </w:pPr>
    </w:p>
    <w:p w14:paraId="09740BEF" w14:textId="77777777" w:rsidR="00631C11" w:rsidRPr="00A80C5E" w:rsidRDefault="00631C11" w:rsidP="00631C11">
      <w:pPr>
        <w:pStyle w:val="Odlomakpopisa"/>
        <w:numPr>
          <w:ilvl w:val="0"/>
          <w:numId w:val="6"/>
        </w:numPr>
        <w:spacing w:line="240" w:lineRule="auto"/>
        <w:rPr>
          <w:rFonts w:ascii="Times New Roman" w:eastAsia="Times New Roman" w:hAnsi="Times New Roman"/>
          <w:b/>
        </w:rPr>
      </w:pPr>
      <w:r w:rsidRPr="00A80C5E">
        <w:rPr>
          <w:rFonts w:ascii="Times New Roman" w:eastAsia="Times New Roman" w:hAnsi="Times New Roman"/>
          <w:b/>
        </w:rPr>
        <w:t>Značajne računovodstvene procjene i izvori</w:t>
      </w:r>
    </w:p>
    <w:p w14:paraId="43FA900A" w14:textId="77777777" w:rsidR="00631C11" w:rsidRPr="00A80C5E" w:rsidRDefault="00631C11" w:rsidP="00631C11">
      <w:pPr>
        <w:pStyle w:val="Odlomakpopisa"/>
        <w:spacing w:line="240" w:lineRule="auto"/>
        <w:rPr>
          <w:rFonts w:ascii="Times New Roman" w:eastAsia="Times New Roman" w:hAnsi="Times New Roman"/>
          <w:b/>
        </w:rPr>
      </w:pPr>
    </w:p>
    <w:p w14:paraId="7E749CA8" w14:textId="77777777" w:rsidR="00631C11" w:rsidRPr="00A80C5E" w:rsidRDefault="00631C11" w:rsidP="00631C11">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t xml:space="preserve">Porez na dobit </w:t>
      </w:r>
    </w:p>
    <w:p w14:paraId="5AAACEBE" w14:textId="77777777" w:rsidR="00631C11" w:rsidRPr="00A80C5E" w:rsidRDefault="00631C11" w:rsidP="00631C11">
      <w:pPr>
        <w:spacing w:after="0" w:line="240" w:lineRule="auto"/>
        <w:rPr>
          <w:rFonts w:ascii="Times New Roman" w:eastAsia="Times New Roman" w:hAnsi="Times New Roman" w:cs="Times New Roman"/>
          <w:bCs/>
        </w:rPr>
      </w:pPr>
    </w:p>
    <w:p w14:paraId="65CA36A6" w14:textId="77777777" w:rsidR="00631C11" w:rsidRPr="00A80C5E" w:rsidRDefault="00631C11" w:rsidP="00631C11">
      <w:pPr>
        <w:spacing w:after="0" w:line="240" w:lineRule="auto"/>
        <w:rPr>
          <w:rFonts w:ascii="Times New Roman" w:eastAsia="Times New Roman" w:hAnsi="Times New Roman" w:cs="Times New Roman"/>
          <w:bCs/>
        </w:rPr>
      </w:pPr>
      <w:r w:rsidRPr="00A80C5E">
        <w:rPr>
          <w:rFonts w:ascii="Times New Roman" w:eastAsia="Times New Roman" w:hAnsi="Times New Roman" w:cs="Times New Roman"/>
          <w:bCs/>
        </w:rPr>
        <w:t>Kalkulacija poreza na dobit je rađena na temelju važećih pravila i zakona. Kalkulacije koje su osnova za izračun poreza na dobit mogu biti predmet provjere poreznih vlasti.</w:t>
      </w:r>
    </w:p>
    <w:p w14:paraId="293A22BF" w14:textId="77777777" w:rsidR="00F5210A" w:rsidRPr="00A80C5E" w:rsidRDefault="00F5210A" w:rsidP="00F5210A">
      <w:pPr>
        <w:spacing w:line="240" w:lineRule="auto"/>
        <w:rPr>
          <w:rFonts w:ascii="Times New Roman" w:eastAsia="Times New Roman" w:hAnsi="Times New Roman" w:cs="Times New Roman"/>
          <w:b/>
        </w:rPr>
      </w:pPr>
    </w:p>
    <w:p w14:paraId="2B7FB240" w14:textId="77777777" w:rsidR="00631C11" w:rsidRPr="00A80C5E" w:rsidRDefault="00631C11" w:rsidP="00631C11">
      <w:pPr>
        <w:pStyle w:val="Odlomakpopisa"/>
        <w:numPr>
          <w:ilvl w:val="0"/>
          <w:numId w:val="6"/>
        </w:numPr>
        <w:spacing w:line="240" w:lineRule="auto"/>
        <w:rPr>
          <w:rFonts w:ascii="Times New Roman" w:eastAsia="Times New Roman" w:hAnsi="Times New Roman"/>
          <w:b/>
        </w:rPr>
      </w:pPr>
      <w:r w:rsidRPr="00A80C5E">
        <w:rPr>
          <w:rFonts w:ascii="Times New Roman" w:eastAsia="Times New Roman" w:hAnsi="Times New Roman"/>
          <w:b/>
        </w:rPr>
        <w:t>Značajne računovodstvene prosudbe u primjeni računovodstvenih standarda</w:t>
      </w:r>
    </w:p>
    <w:p w14:paraId="5CE60476" w14:textId="77777777" w:rsidR="00631C11" w:rsidRPr="00A80C5E" w:rsidRDefault="00631C11" w:rsidP="00631C11">
      <w:pPr>
        <w:spacing w:after="0" w:line="240" w:lineRule="auto"/>
        <w:rPr>
          <w:rFonts w:ascii="Times New Roman" w:eastAsia="Times New Roman" w:hAnsi="Times New Roman" w:cs="Times New Roman"/>
          <w:bCs/>
        </w:rPr>
      </w:pPr>
    </w:p>
    <w:p w14:paraId="7F45FA15" w14:textId="77777777" w:rsidR="00631C11" w:rsidRPr="00A80C5E" w:rsidRDefault="00631C11" w:rsidP="00631C11">
      <w:pPr>
        <w:spacing w:after="0" w:line="240" w:lineRule="auto"/>
        <w:rPr>
          <w:rFonts w:ascii="Times New Roman" w:eastAsia="Times New Roman" w:hAnsi="Times New Roman" w:cs="Times New Roman"/>
          <w:bCs/>
        </w:rPr>
      </w:pPr>
      <w:r w:rsidRPr="00A80C5E">
        <w:rPr>
          <w:rFonts w:ascii="Times New Roman" w:eastAsia="Times New Roman" w:hAnsi="Times New Roman" w:cs="Times New Roman"/>
          <w:bCs/>
        </w:rPr>
        <w:t>Uprava vjeruje da nema nikakvih značajnih prosudbi i procjena koje je bilo potrebno iskazati u izvještajima</w:t>
      </w:r>
    </w:p>
    <w:p w14:paraId="3A97E1F4" w14:textId="77777777" w:rsidR="00631C11" w:rsidRPr="00A80C5E" w:rsidRDefault="00631C11" w:rsidP="00631C11">
      <w:pPr>
        <w:spacing w:after="0" w:line="240" w:lineRule="auto"/>
        <w:rPr>
          <w:rFonts w:ascii="Times New Roman" w:eastAsia="Times New Roman" w:hAnsi="Times New Roman" w:cs="Times New Roman"/>
          <w:bCs/>
        </w:rPr>
      </w:pPr>
    </w:p>
    <w:p w14:paraId="3F090264" w14:textId="77777777" w:rsidR="0045154E" w:rsidRPr="00A80C5E" w:rsidRDefault="0045154E" w:rsidP="00631C11">
      <w:pPr>
        <w:spacing w:after="0" w:line="240" w:lineRule="auto"/>
        <w:rPr>
          <w:rFonts w:ascii="Times New Roman" w:eastAsia="Times New Roman" w:hAnsi="Times New Roman" w:cs="Times New Roman"/>
          <w:b/>
        </w:rPr>
      </w:pPr>
    </w:p>
    <w:p w14:paraId="51BB7BE9" w14:textId="1F2E3D21" w:rsidR="00631C11" w:rsidRPr="00A80C5E" w:rsidRDefault="00631C11" w:rsidP="00631C11">
      <w:pPr>
        <w:spacing w:after="0" w:line="240" w:lineRule="auto"/>
        <w:rPr>
          <w:rFonts w:ascii="Times New Roman" w:eastAsia="Times New Roman" w:hAnsi="Times New Roman" w:cs="Times New Roman"/>
          <w:b/>
        </w:rPr>
      </w:pPr>
      <w:r w:rsidRPr="00A80C5E">
        <w:rPr>
          <w:rFonts w:ascii="Times New Roman" w:eastAsia="Times New Roman" w:hAnsi="Times New Roman" w:cs="Times New Roman"/>
          <w:b/>
        </w:rPr>
        <w:t xml:space="preserve">Bilješka </w:t>
      </w:r>
      <w:r w:rsidR="00C565D4" w:rsidRPr="00A80C5E">
        <w:rPr>
          <w:rFonts w:ascii="Times New Roman" w:eastAsia="Times New Roman" w:hAnsi="Times New Roman" w:cs="Times New Roman"/>
          <w:b/>
        </w:rPr>
        <w:t>29</w:t>
      </w:r>
      <w:r w:rsidRPr="00A80C5E">
        <w:rPr>
          <w:rFonts w:ascii="Times New Roman" w:eastAsia="Times New Roman" w:hAnsi="Times New Roman" w:cs="Times New Roman"/>
          <w:b/>
        </w:rPr>
        <w:t>.</w:t>
      </w:r>
      <w:r w:rsidRPr="00A80C5E">
        <w:rPr>
          <w:rFonts w:ascii="Times New Roman" w:eastAsia="Times New Roman" w:hAnsi="Times New Roman" w:cs="Times New Roman"/>
          <w:b/>
        </w:rPr>
        <w:tab/>
        <w:t xml:space="preserve">Događaji nakon datuma bilance </w:t>
      </w:r>
    </w:p>
    <w:p w14:paraId="208D6998" w14:textId="77777777" w:rsidR="00631C11" w:rsidRPr="00A80C5E" w:rsidRDefault="00631C11" w:rsidP="00631C11">
      <w:pPr>
        <w:spacing w:after="0" w:line="240" w:lineRule="auto"/>
        <w:jc w:val="both"/>
        <w:rPr>
          <w:rFonts w:ascii="Times New Roman" w:eastAsia="Times New Roman" w:hAnsi="Times New Roman" w:cs="Times New Roman"/>
          <w:b/>
        </w:rPr>
      </w:pPr>
    </w:p>
    <w:p w14:paraId="2AF06751" w14:textId="24DE082D" w:rsidR="00D248B1" w:rsidRPr="00A80C5E" w:rsidRDefault="00D248B1" w:rsidP="00D248B1">
      <w:pPr>
        <w:spacing w:after="0" w:line="240" w:lineRule="auto"/>
        <w:jc w:val="both"/>
        <w:rPr>
          <w:rFonts w:ascii="Times New Roman" w:eastAsia="Calibri" w:hAnsi="Times New Roman" w:cs="Times New Roman"/>
        </w:rPr>
      </w:pPr>
      <w:r w:rsidRPr="00A80C5E">
        <w:rPr>
          <w:rFonts w:ascii="Times New Roman" w:eastAsia="Calibri" w:hAnsi="Times New Roman" w:cs="Times New Roman"/>
        </w:rPr>
        <w:t>Nakon datuma bilance nije bilo događaja koji bi značajno utjecali na godišnje financijske izvještaje Društva za 202</w:t>
      </w:r>
      <w:r w:rsidR="00DE3E13" w:rsidRPr="00A80C5E">
        <w:rPr>
          <w:rFonts w:ascii="Times New Roman" w:eastAsia="Calibri" w:hAnsi="Times New Roman" w:cs="Times New Roman"/>
        </w:rPr>
        <w:t>4</w:t>
      </w:r>
      <w:r w:rsidRPr="00A80C5E">
        <w:rPr>
          <w:rFonts w:ascii="Times New Roman" w:eastAsia="Calibri" w:hAnsi="Times New Roman" w:cs="Times New Roman"/>
        </w:rPr>
        <w:t>. godinu, koji bi, slijedom toga trebali biti objavljeni.</w:t>
      </w:r>
    </w:p>
    <w:p w14:paraId="63B86198" w14:textId="77777777" w:rsidR="00D248B1" w:rsidRPr="00A80C5E" w:rsidRDefault="00D248B1" w:rsidP="00D248B1">
      <w:pPr>
        <w:spacing w:after="0" w:line="240" w:lineRule="auto"/>
        <w:jc w:val="both"/>
        <w:rPr>
          <w:rFonts w:ascii="Times New Roman" w:eastAsia="Calibri" w:hAnsi="Times New Roman" w:cs="Times New Roman"/>
        </w:rPr>
      </w:pPr>
    </w:p>
    <w:p w14:paraId="74F2D90A" w14:textId="3067FC63" w:rsidR="00631C11" w:rsidRPr="00A80C5E" w:rsidRDefault="00631C11" w:rsidP="00631C11">
      <w:pPr>
        <w:jc w:val="both"/>
        <w:rPr>
          <w:rFonts w:ascii="Times New Roman" w:hAnsi="Times New Roman" w:cs="Times New Roman"/>
          <w:b/>
        </w:rPr>
      </w:pPr>
      <w:r w:rsidRPr="00A80C5E">
        <w:rPr>
          <w:rFonts w:ascii="Times New Roman" w:hAnsi="Times New Roman" w:cs="Times New Roman"/>
          <w:b/>
        </w:rPr>
        <w:t>Bilješka 3</w:t>
      </w:r>
      <w:r w:rsidR="00C565D4" w:rsidRPr="00A80C5E">
        <w:rPr>
          <w:rFonts w:ascii="Times New Roman" w:hAnsi="Times New Roman" w:cs="Times New Roman"/>
          <w:b/>
        </w:rPr>
        <w:t>0</w:t>
      </w:r>
      <w:r w:rsidRPr="00A80C5E">
        <w:rPr>
          <w:rFonts w:ascii="Times New Roman" w:hAnsi="Times New Roman" w:cs="Times New Roman"/>
          <w:b/>
        </w:rPr>
        <w:t>.</w:t>
      </w:r>
      <w:r w:rsidRPr="00A80C5E">
        <w:rPr>
          <w:rFonts w:ascii="Times New Roman" w:hAnsi="Times New Roman" w:cs="Times New Roman"/>
          <w:b/>
        </w:rPr>
        <w:tab/>
        <w:t>Sastavljanje i odobravanje financijskih izvještaja</w:t>
      </w:r>
    </w:p>
    <w:p w14:paraId="237D4B3F" w14:textId="05418827" w:rsidR="00631C11" w:rsidRPr="00A80C5E" w:rsidRDefault="00631C11" w:rsidP="00631C11">
      <w:pPr>
        <w:jc w:val="both"/>
        <w:rPr>
          <w:rFonts w:ascii="Times New Roman" w:hAnsi="Times New Roman" w:cs="Times New Roman"/>
        </w:rPr>
      </w:pPr>
      <w:r w:rsidRPr="00A80C5E">
        <w:rPr>
          <w:rFonts w:ascii="Times New Roman" w:hAnsi="Times New Roman" w:cs="Times New Roman"/>
        </w:rPr>
        <w:t>Uprava društva odgovorna je za sastavljanje i odobravanje financijskih izvještaja. Uprava društva odobrila je financijske izvještaje, dana 2</w:t>
      </w:r>
      <w:r w:rsidR="00DE3E13" w:rsidRPr="00A80C5E">
        <w:rPr>
          <w:rFonts w:ascii="Times New Roman" w:hAnsi="Times New Roman" w:cs="Times New Roman"/>
        </w:rPr>
        <w:t>7</w:t>
      </w:r>
      <w:r w:rsidRPr="00A80C5E">
        <w:rPr>
          <w:rFonts w:ascii="Times New Roman" w:hAnsi="Times New Roman" w:cs="Times New Roman"/>
        </w:rPr>
        <w:t>. lipnja 202</w:t>
      </w:r>
      <w:r w:rsidR="00DE3E13" w:rsidRPr="00A80C5E">
        <w:rPr>
          <w:rFonts w:ascii="Times New Roman" w:hAnsi="Times New Roman" w:cs="Times New Roman"/>
        </w:rPr>
        <w:t>5</w:t>
      </w:r>
      <w:r w:rsidRPr="00A80C5E">
        <w:rPr>
          <w:rFonts w:ascii="Times New Roman" w:hAnsi="Times New Roman" w:cs="Times New Roman"/>
        </w:rPr>
        <w:t>. godine.</w:t>
      </w:r>
    </w:p>
    <w:p w14:paraId="18BC780C" w14:textId="77777777" w:rsidR="00631C11" w:rsidRPr="00A80C5E" w:rsidRDefault="00631C11" w:rsidP="00631C11">
      <w:pPr>
        <w:spacing w:after="0" w:line="240" w:lineRule="auto"/>
        <w:rPr>
          <w:rFonts w:ascii="Times New Roman" w:eastAsia="Times New Roman" w:hAnsi="Times New Roman" w:cs="Times New Roman"/>
          <w:bCs/>
        </w:rPr>
      </w:pPr>
    </w:p>
    <w:p w14:paraId="2B8CCFD2" w14:textId="77777777" w:rsidR="00631C11" w:rsidRPr="00A80C5E" w:rsidRDefault="00631C11" w:rsidP="00131D13">
      <w:pPr>
        <w:spacing w:after="0" w:line="240" w:lineRule="auto"/>
        <w:jc w:val="both"/>
        <w:rPr>
          <w:rFonts w:ascii="Times New Roman" w:eastAsia="Times New Roman" w:hAnsi="Times New Roman" w:cs="Times New Roman"/>
        </w:rPr>
      </w:pPr>
    </w:p>
    <w:p w14:paraId="0AC9A6F9" w14:textId="77777777" w:rsidR="00131D13" w:rsidRPr="00A80C5E" w:rsidRDefault="00131D13" w:rsidP="00131D13">
      <w:pPr>
        <w:spacing w:after="0" w:line="240" w:lineRule="auto"/>
        <w:jc w:val="both"/>
        <w:rPr>
          <w:rFonts w:ascii="Times New Roman" w:eastAsia="Times New Roman" w:hAnsi="Times New Roman" w:cs="Times New Roman"/>
        </w:rPr>
      </w:pPr>
    </w:p>
    <w:p w14:paraId="1CC2D793" w14:textId="77777777" w:rsidR="00131D13" w:rsidRPr="00A80C5E" w:rsidRDefault="00131D13" w:rsidP="00131D13">
      <w:pPr>
        <w:spacing w:after="0" w:line="240" w:lineRule="auto"/>
        <w:jc w:val="both"/>
        <w:rPr>
          <w:rFonts w:ascii="Times New Roman" w:eastAsia="Times New Roman" w:hAnsi="Times New Roman" w:cs="Times New Roman"/>
        </w:rPr>
      </w:pPr>
    </w:p>
    <w:p w14:paraId="79D4DA5F" w14:textId="61CD530D" w:rsidR="00131D13" w:rsidRPr="00A80C5E" w:rsidRDefault="00131D13" w:rsidP="00131D13">
      <w:pPr>
        <w:spacing w:after="0" w:line="240" w:lineRule="auto"/>
        <w:jc w:val="both"/>
        <w:rPr>
          <w:rFonts w:ascii="Times New Roman" w:eastAsia="Times New Roman" w:hAnsi="Times New Roman" w:cs="Times New Roman"/>
        </w:rPr>
      </w:pPr>
      <w:r w:rsidRPr="00A80C5E">
        <w:rPr>
          <w:rFonts w:ascii="Times New Roman" w:eastAsia="Times New Roman" w:hAnsi="Times New Roman" w:cs="Times New Roman"/>
        </w:rPr>
        <w:t>U Puli, 2</w:t>
      </w:r>
      <w:r w:rsidR="00DE3E13" w:rsidRPr="00A80C5E">
        <w:rPr>
          <w:rFonts w:ascii="Times New Roman" w:eastAsia="Times New Roman" w:hAnsi="Times New Roman" w:cs="Times New Roman"/>
        </w:rPr>
        <w:t>7</w:t>
      </w:r>
      <w:r w:rsidRPr="00A80C5E">
        <w:rPr>
          <w:rFonts w:ascii="Times New Roman" w:eastAsia="Times New Roman" w:hAnsi="Times New Roman" w:cs="Times New Roman"/>
        </w:rPr>
        <w:t>.0</w:t>
      </w:r>
      <w:r w:rsidR="00DE3E13" w:rsidRPr="00A80C5E">
        <w:rPr>
          <w:rFonts w:ascii="Times New Roman" w:eastAsia="Times New Roman" w:hAnsi="Times New Roman" w:cs="Times New Roman"/>
        </w:rPr>
        <w:t>6</w:t>
      </w:r>
      <w:r w:rsidRPr="00A80C5E">
        <w:rPr>
          <w:rFonts w:ascii="Times New Roman" w:eastAsia="Times New Roman" w:hAnsi="Times New Roman" w:cs="Times New Roman"/>
        </w:rPr>
        <w:t>.20</w:t>
      </w:r>
      <w:r w:rsidR="000445AA" w:rsidRPr="00A80C5E">
        <w:rPr>
          <w:rFonts w:ascii="Times New Roman" w:eastAsia="Times New Roman" w:hAnsi="Times New Roman" w:cs="Times New Roman"/>
        </w:rPr>
        <w:t>2</w:t>
      </w:r>
      <w:r w:rsidR="00DE3E13" w:rsidRPr="00A80C5E">
        <w:rPr>
          <w:rFonts w:ascii="Times New Roman" w:eastAsia="Times New Roman" w:hAnsi="Times New Roman" w:cs="Times New Roman"/>
        </w:rPr>
        <w:t>5</w:t>
      </w:r>
      <w:r w:rsidRPr="00A80C5E">
        <w:rPr>
          <w:rFonts w:ascii="Times New Roman" w:eastAsia="Times New Roman" w:hAnsi="Times New Roman" w:cs="Times New Roman"/>
        </w:rPr>
        <w:t>.</w:t>
      </w:r>
    </w:p>
    <w:p w14:paraId="75CA62A6" w14:textId="77777777" w:rsidR="00131D13" w:rsidRPr="00A80C5E" w:rsidRDefault="00131D13" w:rsidP="00131D13">
      <w:pPr>
        <w:spacing w:after="0" w:line="240" w:lineRule="auto"/>
        <w:jc w:val="both"/>
        <w:rPr>
          <w:rFonts w:ascii="Times New Roman" w:eastAsia="Times New Roman" w:hAnsi="Times New Roman" w:cs="Times New Roman"/>
        </w:rPr>
      </w:pPr>
    </w:p>
    <w:p w14:paraId="18C8BCFB" w14:textId="77777777" w:rsidR="00131D13" w:rsidRPr="00A80C5E" w:rsidRDefault="00131D13" w:rsidP="00131D13">
      <w:pPr>
        <w:spacing w:after="0" w:line="240" w:lineRule="auto"/>
        <w:rPr>
          <w:rFonts w:ascii="Times New Roman" w:eastAsia="Times New Roman" w:hAnsi="Times New Roman" w:cs="Times New Roman"/>
          <w:lang w:val="en-US"/>
        </w:rPr>
      </w:pPr>
    </w:p>
    <w:p w14:paraId="1CF80732" w14:textId="689514D8" w:rsidR="00DE3E13" w:rsidRPr="00A80C5E" w:rsidRDefault="00DE3E13" w:rsidP="00131D13">
      <w:pPr>
        <w:spacing w:after="0" w:line="240" w:lineRule="auto"/>
        <w:rPr>
          <w:rFonts w:ascii="Times New Roman" w:eastAsia="Times New Roman" w:hAnsi="Times New Roman" w:cs="Times New Roman"/>
        </w:rPr>
      </w:pPr>
      <w:r w:rsidRPr="00A80C5E">
        <w:rPr>
          <w:rFonts w:ascii="Times New Roman" w:eastAsia="Times New Roman" w:hAnsi="Times New Roman" w:cs="Times New Roman"/>
        </w:rPr>
        <w:t>Voditelj financija</w:t>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t>Direktor</w:t>
      </w:r>
    </w:p>
    <w:p w14:paraId="7238CB19" w14:textId="77777777" w:rsidR="00DE3E13" w:rsidRPr="00A80C5E" w:rsidRDefault="00DE3E13" w:rsidP="00131D13">
      <w:pPr>
        <w:spacing w:after="0" w:line="240" w:lineRule="auto"/>
        <w:rPr>
          <w:rFonts w:ascii="Times New Roman" w:eastAsia="Times New Roman" w:hAnsi="Times New Roman" w:cs="Times New Roman"/>
        </w:rPr>
      </w:pPr>
    </w:p>
    <w:p w14:paraId="6806A041" w14:textId="715C76F4" w:rsidR="00131D13" w:rsidRPr="00A80C5E" w:rsidRDefault="00131D13" w:rsidP="00131D13">
      <w:pPr>
        <w:spacing w:after="0" w:line="240" w:lineRule="auto"/>
        <w:rPr>
          <w:rFonts w:ascii="Times New Roman" w:eastAsia="Times New Roman" w:hAnsi="Times New Roman" w:cs="Times New Roman"/>
        </w:rPr>
      </w:pPr>
      <w:r w:rsidRPr="00A80C5E">
        <w:rPr>
          <w:rFonts w:ascii="Times New Roman" w:eastAsia="Times New Roman" w:hAnsi="Times New Roman" w:cs="Times New Roman"/>
        </w:rPr>
        <w:t>Anita Bonašin</w:t>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Pr="00A80C5E">
        <w:rPr>
          <w:rFonts w:ascii="Times New Roman" w:eastAsia="Times New Roman" w:hAnsi="Times New Roman" w:cs="Times New Roman"/>
        </w:rPr>
        <w:tab/>
      </w:r>
      <w:r w:rsidR="007B2FDE" w:rsidRPr="00A80C5E">
        <w:rPr>
          <w:rFonts w:ascii="Times New Roman" w:eastAsia="Times New Roman" w:hAnsi="Times New Roman" w:cs="Times New Roman"/>
        </w:rPr>
        <w:t>D</w:t>
      </w:r>
      <w:r w:rsidRPr="00A80C5E">
        <w:rPr>
          <w:rFonts w:ascii="Times New Roman" w:eastAsia="Times New Roman" w:hAnsi="Times New Roman" w:cs="Times New Roman"/>
        </w:rPr>
        <w:t>arko B</w:t>
      </w:r>
      <w:r w:rsidR="007B2FDE" w:rsidRPr="00A80C5E">
        <w:rPr>
          <w:rFonts w:ascii="Times New Roman" w:eastAsia="Times New Roman" w:hAnsi="Times New Roman" w:cs="Times New Roman"/>
        </w:rPr>
        <w:t xml:space="preserve">ijelić, </w:t>
      </w:r>
      <w:proofErr w:type="spellStart"/>
      <w:r w:rsidR="007B2FDE" w:rsidRPr="00A80C5E">
        <w:rPr>
          <w:rFonts w:ascii="Times New Roman" w:eastAsia="Times New Roman" w:hAnsi="Times New Roman" w:cs="Times New Roman"/>
        </w:rPr>
        <w:t>mag.oec</w:t>
      </w:r>
      <w:proofErr w:type="spellEnd"/>
      <w:r w:rsidR="007B2FDE" w:rsidRPr="00A80C5E">
        <w:rPr>
          <w:rFonts w:ascii="Times New Roman" w:eastAsia="Times New Roman" w:hAnsi="Times New Roman" w:cs="Times New Roman"/>
        </w:rPr>
        <w:t>.</w:t>
      </w:r>
    </w:p>
    <w:p w14:paraId="324C5CA3" w14:textId="77777777" w:rsidR="00C0127B" w:rsidRPr="00A80C5E" w:rsidRDefault="00C0127B" w:rsidP="00131D13">
      <w:pPr>
        <w:spacing w:after="0" w:line="240" w:lineRule="auto"/>
        <w:rPr>
          <w:rFonts w:ascii="Times New Roman" w:eastAsia="Times New Roman" w:hAnsi="Times New Roman" w:cs="Times New Roman"/>
        </w:rPr>
      </w:pPr>
    </w:p>
    <w:p w14:paraId="368A9562" w14:textId="77777777" w:rsidR="00C0127B" w:rsidRPr="00A80C5E" w:rsidRDefault="00C0127B" w:rsidP="00131D13">
      <w:pPr>
        <w:spacing w:after="0" w:line="240" w:lineRule="auto"/>
        <w:rPr>
          <w:rFonts w:ascii="Times New Roman" w:eastAsia="Times New Roman" w:hAnsi="Times New Roman" w:cs="Times New Roman"/>
        </w:rPr>
      </w:pPr>
    </w:p>
    <w:p w14:paraId="7D91A4F8" w14:textId="77777777" w:rsidR="00C0127B" w:rsidRPr="00A80C5E" w:rsidRDefault="00C0127B" w:rsidP="00131D13">
      <w:pPr>
        <w:spacing w:after="0" w:line="240" w:lineRule="auto"/>
        <w:rPr>
          <w:rFonts w:ascii="Times New Roman" w:eastAsia="Times New Roman" w:hAnsi="Times New Roman" w:cs="Times New Roman"/>
        </w:rPr>
      </w:pPr>
    </w:p>
    <w:p w14:paraId="5772AC2A" w14:textId="77777777" w:rsidR="00C0127B" w:rsidRPr="00A80C5E" w:rsidRDefault="00C0127B" w:rsidP="00131D13">
      <w:pPr>
        <w:spacing w:after="0" w:line="240" w:lineRule="auto"/>
        <w:rPr>
          <w:rFonts w:ascii="Times New Roman" w:eastAsia="Times New Roman" w:hAnsi="Times New Roman" w:cs="Times New Roman"/>
        </w:rPr>
      </w:pPr>
    </w:p>
    <w:p w14:paraId="65439AA7" w14:textId="77777777" w:rsidR="00C0127B" w:rsidRPr="00A80C5E" w:rsidRDefault="00C0127B" w:rsidP="00131D13">
      <w:pPr>
        <w:spacing w:after="0" w:line="240" w:lineRule="auto"/>
        <w:rPr>
          <w:rFonts w:ascii="Times New Roman" w:eastAsia="Times New Roman" w:hAnsi="Times New Roman" w:cs="Times New Roman"/>
        </w:rPr>
      </w:pPr>
    </w:p>
    <w:p w14:paraId="5E30F4BA" w14:textId="43232CAD" w:rsidR="005364B4" w:rsidRPr="00A80C5E" w:rsidRDefault="0031315D" w:rsidP="00F5210A">
      <w:pPr>
        <w:spacing w:after="0" w:line="240" w:lineRule="auto"/>
        <w:jc w:val="right"/>
        <w:rPr>
          <w:rFonts w:ascii="Times New Roman" w:eastAsia="Times New Roman" w:hAnsi="Times New Roman" w:cs="Times New Roman"/>
        </w:rPr>
      </w:pPr>
      <w:r w:rsidRPr="00A80C5E">
        <w:rPr>
          <w:rFonts w:ascii="Times New Roman" w:eastAsia="Times New Roman" w:hAnsi="Times New Roman" w:cs="Times New Roman"/>
        </w:rPr>
        <w:t>15</w:t>
      </w:r>
    </w:p>
    <w:sectPr w:rsidR="005364B4" w:rsidRPr="00A80C5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468FE" w14:textId="77777777" w:rsidR="00A7642F" w:rsidRDefault="00A7642F" w:rsidP="008062B7">
      <w:pPr>
        <w:spacing w:after="0" w:line="240" w:lineRule="auto"/>
      </w:pPr>
      <w:r>
        <w:separator/>
      </w:r>
    </w:p>
  </w:endnote>
  <w:endnote w:type="continuationSeparator" w:id="0">
    <w:p w14:paraId="27422D5B" w14:textId="77777777" w:rsidR="00A7642F" w:rsidRDefault="00A7642F" w:rsidP="0080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04E19" w14:textId="77777777" w:rsidR="00A7642F" w:rsidRDefault="00A7642F" w:rsidP="008062B7">
      <w:pPr>
        <w:spacing w:after="0" w:line="240" w:lineRule="auto"/>
      </w:pPr>
      <w:r>
        <w:separator/>
      </w:r>
    </w:p>
  </w:footnote>
  <w:footnote w:type="continuationSeparator" w:id="0">
    <w:p w14:paraId="4299A23F" w14:textId="77777777" w:rsidR="00A7642F" w:rsidRDefault="00A7642F" w:rsidP="00806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2"/>
      <w:tblW w:w="91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390"/>
      <w:gridCol w:w="1530"/>
    </w:tblGrid>
    <w:tr w:rsidR="008364D3" w:rsidRPr="00A81432" w14:paraId="0B39936B" w14:textId="77777777" w:rsidTr="00040C22">
      <w:trPr>
        <w:trHeight w:val="1250"/>
      </w:trPr>
      <w:tc>
        <w:tcPr>
          <w:tcW w:w="1260" w:type="dxa"/>
        </w:tcPr>
        <w:p w14:paraId="76070336" w14:textId="77777777" w:rsidR="008364D3" w:rsidRPr="00A81432" w:rsidRDefault="008364D3" w:rsidP="00A81432">
          <w:pPr>
            <w:tabs>
              <w:tab w:val="center" w:pos="4536"/>
              <w:tab w:val="right" w:pos="9072"/>
            </w:tabs>
            <w:rPr>
              <w:rFonts w:ascii="Times New Roman" w:hAnsi="Times New Roman"/>
              <w:sz w:val="16"/>
              <w:szCs w:val="16"/>
            </w:rPr>
          </w:pPr>
          <w:r w:rsidRPr="00A81432">
            <w:rPr>
              <w:rFonts w:ascii="Times New Roman" w:hAnsi="Times New Roman"/>
              <w:noProof/>
              <w:sz w:val="18"/>
              <w:szCs w:val="18"/>
            </w:rPr>
            <w:drawing>
              <wp:inline distT="0" distB="0" distL="0" distR="0" wp14:anchorId="3AD933FB" wp14:editId="39AC024B">
                <wp:extent cx="390603" cy="525294"/>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b_rh_2_crvena_bijela_polja.jpeg"/>
                        <pic:cNvPicPr/>
                      </pic:nvPicPr>
                      <pic:blipFill>
                        <a:blip r:embed="rId1">
                          <a:extLst>
                            <a:ext uri="{28A0092B-C50C-407E-A947-70E740481C1C}">
                              <a14:useLocalDpi xmlns:a14="http://schemas.microsoft.com/office/drawing/2010/main" val="0"/>
                            </a:ext>
                          </a:extLst>
                        </a:blip>
                        <a:stretch>
                          <a:fillRect/>
                        </a:stretch>
                      </pic:blipFill>
                      <pic:spPr>
                        <a:xfrm>
                          <a:off x="0" y="0"/>
                          <a:ext cx="390603" cy="525294"/>
                        </a:xfrm>
                        <a:prstGeom prst="rect">
                          <a:avLst/>
                        </a:prstGeom>
                      </pic:spPr>
                    </pic:pic>
                  </a:graphicData>
                </a:graphic>
              </wp:inline>
            </w:drawing>
          </w:r>
          <w:r w:rsidRPr="00A81432">
            <w:rPr>
              <w:rFonts w:ascii="Times New Roman" w:hAnsi="Times New Roman"/>
            </w:rPr>
            <w:br/>
          </w:r>
          <w:r w:rsidRPr="00A81432">
            <w:rPr>
              <w:rFonts w:ascii="Times New Roman" w:hAnsi="Times New Roman"/>
              <w:sz w:val="18"/>
              <w:szCs w:val="18"/>
            </w:rPr>
            <w:t xml:space="preserve"> </w:t>
          </w:r>
          <w:r w:rsidRPr="00A81432">
            <w:rPr>
              <w:rFonts w:ascii="Times New Roman" w:hAnsi="Times New Roman"/>
              <w:sz w:val="16"/>
              <w:szCs w:val="16"/>
            </w:rPr>
            <w:t>REPUBLIKA</w:t>
          </w:r>
        </w:p>
        <w:p w14:paraId="06133112" w14:textId="77777777" w:rsidR="008364D3" w:rsidRPr="00A81432" w:rsidRDefault="008364D3" w:rsidP="00A81432">
          <w:pPr>
            <w:tabs>
              <w:tab w:val="center" w:pos="4536"/>
              <w:tab w:val="right" w:pos="9072"/>
            </w:tabs>
            <w:jc w:val="center"/>
            <w:rPr>
              <w:rFonts w:ascii="Times New Roman" w:hAnsi="Times New Roman"/>
              <w:sz w:val="18"/>
              <w:szCs w:val="18"/>
            </w:rPr>
          </w:pPr>
          <w:r w:rsidRPr="00A81432">
            <w:rPr>
              <w:rFonts w:ascii="Times New Roman" w:hAnsi="Times New Roman"/>
              <w:sz w:val="16"/>
              <w:szCs w:val="16"/>
            </w:rPr>
            <w:t>HRVATSKA</w:t>
          </w:r>
        </w:p>
      </w:tc>
      <w:tc>
        <w:tcPr>
          <w:tcW w:w="6390" w:type="dxa"/>
        </w:tcPr>
        <w:p w14:paraId="294E3C28" w14:textId="77777777" w:rsidR="008364D3" w:rsidRPr="00A81432" w:rsidRDefault="008364D3" w:rsidP="00A81432">
          <w:pPr>
            <w:tabs>
              <w:tab w:val="center" w:pos="4536"/>
              <w:tab w:val="right" w:pos="9072"/>
            </w:tabs>
            <w:jc w:val="center"/>
            <w:rPr>
              <w:rFonts w:ascii="Times New Roman" w:hAnsi="Times New Roman"/>
              <w:sz w:val="18"/>
              <w:szCs w:val="18"/>
            </w:rPr>
          </w:pPr>
          <w:r w:rsidRPr="00A81432">
            <w:rPr>
              <w:noProof/>
            </w:rPr>
            <w:drawing>
              <wp:inline distT="0" distB="0" distL="0" distR="0" wp14:anchorId="16E0D67C" wp14:editId="4A91015A">
                <wp:extent cx="3073941" cy="768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_hor_rgb (2).png"/>
                        <pic:cNvPicPr/>
                      </pic:nvPicPr>
                      <pic:blipFill>
                        <a:blip r:embed="rId2">
                          <a:extLst>
                            <a:ext uri="{28A0092B-C50C-407E-A947-70E740481C1C}">
                              <a14:useLocalDpi xmlns:a14="http://schemas.microsoft.com/office/drawing/2010/main" val="0"/>
                            </a:ext>
                          </a:extLst>
                        </a:blip>
                        <a:stretch>
                          <a:fillRect/>
                        </a:stretch>
                      </pic:blipFill>
                      <pic:spPr>
                        <a:xfrm>
                          <a:off x="0" y="0"/>
                          <a:ext cx="3106783" cy="776947"/>
                        </a:xfrm>
                        <a:prstGeom prst="rect">
                          <a:avLst/>
                        </a:prstGeom>
                      </pic:spPr>
                    </pic:pic>
                  </a:graphicData>
                </a:graphic>
              </wp:inline>
            </w:drawing>
          </w:r>
        </w:p>
        <w:p w14:paraId="3966A259" w14:textId="77777777" w:rsidR="008364D3" w:rsidRPr="00A81432" w:rsidRDefault="008364D3" w:rsidP="00A81432">
          <w:pPr>
            <w:tabs>
              <w:tab w:val="center" w:pos="4536"/>
              <w:tab w:val="right" w:pos="9072"/>
            </w:tabs>
            <w:rPr>
              <w:rFonts w:ascii="Times New Roman" w:hAnsi="Times New Roman"/>
              <w:sz w:val="18"/>
              <w:szCs w:val="18"/>
            </w:rPr>
          </w:pPr>
        </w:p>
      </w:tc>
      <w:tc>
        <w:tcPr>
          <w:tcW w:w="1530" w:type="dxa"/>
        </w:tcPr>
        <w:p w14:paraId="316F05AD" w14:textId="77777777" w:rsidR="008364D3" w:rsidRPr="00A81432" w:rsidRDefault="008364D3" w:rsidP="00A81432">
          <w:pPr>
            <w:tabs>
              <w:tab w:val="center" w:pos="4536"/>
              <w:tab w:val="right" w:pos="9072"/>
            </w:tabs>
            <w:rPr>
              <w:rFonts w:ascii="Times New Roman" w:hAnsi="Times New Roman"/>
              <w:sz w:val="18"/>
              <w:szCs w:val="18"/>
            </w:rPr>
          </w:pPr>
          <w:r w:rsidRPr="00A81432">
            <w:rPr>
              <w:rFonts w:ascii="Times New Roman" w:hAnsi="Times New Roman"/>
              <w:noProof/>
            </w:rPr>
            <w:drawing>
              <wp:inline distT="0" distB="0" distL="0" distR="0" wp14:anchorId="37EDBD47" wp14:editId="36830FA1">
                <wp:extent cx="887163" cy="497475"/>
                <wp:effectExtent l="0" t="0" r="1905" b="0"/>
                <wp:docPr id="1" name="Slika 1" descr="CroCert-IQNet-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Cert-IQNet-9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758" cy="517435"/>
                        </a:xfrm>
                        <a:prstGeom prst="rect">
                          <a:avLst/>
                        </a:prstGeom>
                        <a:noFill/>
                        <a:ln>
                          <a:noFill/>
                        </a:ln>
                      </pic:spPr>
                    </pic:pic>
                  </a:graphicData>
                </a:graphic>
              </wp:inline>
            </w:drawing>
          </w:r>
        </w:p>
      </w:tc>
    </w:tr>
  </w:tbl>
  <w:p w14:paraId="60E2FD43" w14:textId="77777777" w:rsidR="008364D3" w:rsidRDefault="008364D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4D9"/>
    <w:multiLevelType w:val="hybridMultilevel"/>
    <w:tmpl w:val="6EFAD586"/>
    <w:lvl w:ilvl="0" w:tplc="0CF8DA9A">
      <w:start w:val="1"/>
      <w:numFmt w:val="bullet"/>
      <w:lvlText w:val=""/>
      <w:lvlJc w:val="left"/>
      <w:pPr>
        <w:tabs>
          <w:tab w:val="num" w:pos="720"/>
        </w:tabs>
        <w:ind w:left="720" w:hanging="360"/>
      </w:pPr>
      <w:rPr>
        <w:rFonts w:ascii="Symbol" w:hAnsi="Symbol" w:hint="default"/>
      </w:rPr>
    </w:lvl>
    <w:lvl w:ilvl="1" w:tplc="11BCCC9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45090"/>
    <w:multiLevelType w:val="hybridMultilevel"/>
    <w:tmpl w:val="F32EEE72"/>
    <w:lvl w:ilvl="0" w:tplc="041A0005">
      <w:start w:val="1"/>
      <w:numFmt w:val="bullet"/>
      <w:lvlText w:val=""/>
      <w:lvlJc w:val="left"/>
      <w:pPr>
        <w:ind w:left="1065" w:hanging="360"/>
      </w:pPr>
      <w:rPr>
        <w:rFonts w:ascii="Wingdings" w:hAnsi="Wingdings"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2" w15:restartNumberingAfterBreak="0">
    <w:nsid w:val="392623DA"/>
    <w:multiLevelType w:val="hybridMultilevel"/>
    <w:tmpl w:val="FA9859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882D5B"/>
    <w:multiLevelType w:val="hybridMultilevel"/>
    <w:tmpl w:val="940404EA"/>
    <w:lvl w:ilvl="0" w:tplc="041A0005">
      <w:start w:val="1"/>
      <w:numFmt w:val="bullet"/>
      <w:lvlText w:val=""/>
      <w:lvlJc w:val="left"/>
      <w:pPr>
        <w:ind w:left="1350" w:hanging="360"/>
      </w:pPr>
      <w:rPr>
        <w:rFonts w:ascii="Wingdings" w:hAnsi="Wingdings"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 w15:restartNumberingAfterBreak="0">
    <w:nsid w:val="442621A0"/>
    <w:multiLevelType w:val="hybridMultilevel"/>
    <w:tmpl w:val="715EC6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D13BB0"/>
    <w:multiLevelType w:val="hybridMultilevel"/>
    <w:tmpl w:val="FACE5110"/>
    <w:lvl w:ilvl="0" w:tplc="041A0005">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6" w15:restartNumberingAfterBreak="0">
    <w:nsid w:val="4DC94BDC"/>
    <w:multiLevelType w:val="hybridMultilevel"/>
    <w:tmpl w:val="305CA9E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DF"/>
    <w:rsid w:val="00007736"/>
    <w:rsid w:val="000079D3"/>
    <w:rsid w:val="00033B9F"/>
    <w:rsid w:val="000344A0"/>
    <w:rsid w:val="00040C22"/>
    <w:rsid w:val="000445AA"/>
    <w:rsid w:val="00047D3E"/>
    <w:rsid w:val="00057239"/>
    <w:rsid w:val="00081D6F"/>
    <w:rsid w:val="00087B30"/>
    <w:rsid w:val="00091B99"/>
    <w:rsid w:val="0009210D"/>
    <w:rsid w:val="000C27FB"/>
    <w:rsid w:val="000E4286"/>
    <w:rsid w:val="00121D32"/>
    <w:rsid w:val="00125755"/>
    <w:rsid w:val="001265C7"/>
    <w:rsid w:val="00131D13"/>
    <w:rsid w:val="0013432E"/>
    <w:rsid w:val="00137795"/>
    <w:rsid w:val="0014648D"/>
    <w:rsid w:val="00166B3C"/>
    <w:rsid w:val="001806A2"/>
    <w:rsid w:val="001812DD"/>
    <w:rsid w:val="001947C1"/>
    <w:rsid w:val="001958C5"/>
    <w:rsid w:val="001A70A3"/>
    <w:rsid w:val="001B4644"/>
    <w:rsid w:val="001C4F6E"/>
    <w:rsid w:val="001D58F7"/>
    <w:rsid w:val="001E3AA2"/>
    <w:rsid w:val="001F6005"/>
    <w:rsid w:val="00206F57"/>
    <w:rsid w:val="0021603E"/>
    <w:rsid w:val="002235D2"/>
    <w:rsid w:val="00247027"/>
    <w:rsid w:val="00247559"/>
    <w:rsid w:val="002604E2"/>
    <w:rsid w:val="00282F4C"/>
    <w:rsid w:val="002A1944"/>
    <w:rsid w:val="002D0286"/>
    <w:rsid w:val="002E2E43"/>
    <w:rsid w:val="002E5DB8"/>
    <w:rsid w:val="002E7078"/>
    <w:rsid w:val="00304251"/>
    <w:rsid w:val="0031315D"/>
    <w:rsid w:val="0031581C"/>
    <w:rsid w:val="003159C9"/>
    <w:rsid w:val="00332B98"/>
    <w:rsid w:val="00341ECD"/>
    <w:rsid w:val="00344389"/>
    <w:rsid w:val="003501AD"/>
    <w:rsid w:val="003812D5"/>
    <w:rsid w:val="003836CF"/>
    <w:rsid w:val="003B04D6"/>
    <w:rsid w:val="003B0D9E"/>
    <w:rsid w:val="003B4497"/>
    <w:rsid w:val="003B47C0"/>
    <w:rsid w:val="003C5F17"/>
    <w:rsid w:val="003C6929"/>
    <w:rsid w:val="003D38A6"/>
    <w:rsid w:val="003D5478"/>
    <w:rsid w:val="003E28E9"/>
    <w:rsid w:val="003E5ED0"/>
    <w:rsid w:val="003F00A7"/>
    <w:rsid w:val="003F6907"/>
    <w:rsid w:val="003F7176"/>
    <w:rsid w:val="00410C07"/>
    <w:rsid w:val="00410CF5"/>
    <w:rsid w:val="00414D44"/>
    <w:rsid w:val="004200EE"/>
    <w:rsid w:val="00422B5C"/>
    <w:rsid w:val="00422B81"/>
    <w:rsid w:val="00435DB6"/>
    <w:rsid w:val="0045154E"/>
    <w:rsid w:val="00462641"/>
    <w:rsid w:val="004702BB"/>
    <w:rsid w:val="004709B1"/>
    <w:rsid w:val="00480C2D"/>
    <w:rsid w:val="00485D29"/>
    <w:rsid w:val="00497674"/>
    <w:rsid w:val="004A7418"/>
    <w:rsid w:val="004B1E30"/>
    <w:rsid w:val="004D4AD1"/>
    <w:rsid w:val="004E50C8"/>
    <w:rsid w:val="004F5FD4"/>
    <w:rsid w:val="004F61CA"/>
    <w:rsid w:val="004F6409"/>
    <w:rsid w:val="004F6845"/>
    <w:rsid w:val="00504466"/>
    <w:rsid w:val="005364B4"/>
    <w:rsid w:val="00543DA6"/>
    <w:rsid w:val="00550527"/>
    <w:rsid w:val="00552C89"/>
    <w:rsid w:val="00561296"/>
    <w:rsid w:val="00565EE1"/>
    <w:rsid w:val="005708B4"/>
    <w:rsid w:val="00572307"/>
    <w:rsid w:val="00590D4A"/>
    <w:rsid w:val="00597818"/>
    <w:rsid w:val="005C28C4"/>
    <w:rsid w:val="005D4A93"/>
    <w:rsid w:val="005E6397"/>
    <w:rsid w:val="005F4013"/>
    <w:rsid w:val="006005B4"/>
    <w:rsid w:val="006103BC"/>
    <w:rsid w:val="006105D4"/>
    <w:rsid w:val="00631C11"/>
    <w:rsid w:val="006343EF"/>
    <w:rsid w:val="00644F61"/>
    <w:rsid w:val="00653ADA"/>
    <w:rsid w:val="00665E67"/>
    <w:rsid w:val="006665A4"/>
    <w:rsid w:val="00674870"/>
    <w:rsid w:val="006801E2"/>
    <w:rsid w:val="00680A5B"/>
    <w:rsid w:val="0068611A"/>
    <w:rsid w:val="006944E3"/>
    <w:rsid w:val="006B51F5"/>
    <w:rsid w:val="006B5481"/>
    <w:rsid w:val="006C19E1"/>
    <w:rsid w:val="006C7F9A"/>
    <w:rsid w:val="006E2405"/>
    <w:rsid w:val="006E4396"/>
    <w:rsid w:val="00706623"/>
    <w:rsid w:val="00710F54"/>
    <w:rsid w:val="00713578"/>
    <w:rsid w:val="00720E1E"/>
    <w:rsid w:val="00737D64"/>
    <w:rsid w:val="00743D71"/>
    <w:rsid w:val="00745881"/>
    <w:rsid w:val="0075481A"/>
    <w:rsid w:val="00763305"/>
    <w:rsid w:val="00781326"/>
    <w:rsid w:val="00784290"/>
    <w:rsid w:val="0078665F"/>
    <w:rsid w:val="007A7CCE"/>
    <w:rsid w:val="007B2FDE"/>
    <w:rsid w:val="007C7504"/>
    <w:rsid w:val="007D3C79"/>
    <w:rsid w:val="007E4B82"/>
    <w:rsid w:val="007F0F03"/>
    <w:rsid w:val="00803BE9"/>
    <w:rsid w:val="008062B7"/>
    <w:rsid w:val="0082278B"/>
    <w:rsid w:val="008246E5"/>
    <w:rsid w:val="008364D3"/>
    <w:rsid w:val="00837BA3"/>
    <w:rsid w:val="00840BCC"/>
    <w:rsid w:val="008421D6"/>
    <w:rsid w:val="00851B24"/>
    <w:rsid w:val="00856895"/>
    <w:rsid w:val="00863EA5"/>
    <w:rsid w:val="00866994"/>
    <w:rsid w:val="00866DB9"/>
    <w:rsid w:val="008675AD"/>
    <w:rsid w:val="008768DA"/>
    <w:rsid w:val="00890AD6"/>
    <w:rsid w:val="00892AB0"/>
    <w:rsid w:val="008A645B"/>
    <w:rsid w:val="008B01DF"/>
    <w:rsid w:val="008B768E"/>
    <w:rsid w:val="008C1B1B"/>
    <w:rsid w:val="008D39DB"/>
    <w:rsid w:val="008E0B8F"/>
    <w:rsid w:val="008E28D9"/>
    <w:rsid w:val="008E7491"/>
    <w:rsid w:val="008F3E44"/>
    <w:rsid w:val="008F4CEA"/>
    <w:rsid w:val="00901991"/>
    <w:rsid w:val="00904D55"/>
    <w:rsid w:val="00915671"/>
    <w:rsid w:val="0091732B"/>
    <w:rsid w:val="00917AF2"/>
    <w:rsid w:val="009276D2"/>
    <w:rsid w:val="00941C67"/>
    <w:rsid w:val="00942C48"/>
    <w:rsid w:val="00945FE7"/>
    <w:rsid w:val="00953448"/>
    <w:rsid w:val="0095424B"/>
    <w:rsid w:val="00967CB2"/>
    <w:rsid w:val="009712D2"/>
    <w:rsid w:val="00981512"/>
    <w:rsid w:val="009845E6"/>
    <w:rsid w:val="00984ACB"/>
    <w:rsid w:val="0098513F"/>
    <w:rsid w:val="009A7393"/>
    <w:rsid w:val="009B6467"/>
    <w:rsid w:val="009C35D5"/>
    <w:rsid w:val="009C3610"/>
    <w:rsid w:val="009D451E"/>
    <w:rsid w:val="009E5FAE"/>
    <w:rsid w:val="009F7755"/>
    <w:rsid w:val="00A16F70"/>
    <w:rsid w:val="00A41FA8"/>
    <w:rsid w:val="00A53DE9"/>
    <w:rsid w:val="00A5532D"/>
    <w:rsid w:val="00A60465"/>
    <w:rsid w:val="00A64CAE"/>
    <w:rsid w:val="00A660AE"/>
    <w:rsid w:val="00A7073A"/>
    <w:rsid w:val="00A7642F"/>
    <w:rsid w:val="00A80C5E"/>
    <w:rsid w:val="00A81432"/>
    <w:rsid w:val="00A841B9"/>
    <w:rsid w:val="00AA324E"/>
    <w:rsid w:val="00AE7CC8"/>
    <w:rsid w:val="00B34D9D"/>
    <w:rsid w:val="00B362FD"/>
    <w:rsid w:val="00B40BCA"/>
    <w:rsid w:val="00B52607"/>
    <w:rsid w:val="00B64A98"/>
    <w:rsid w:val="00B70133"/>
    <w:rsid w:val="00B8213B"/>
    <w:rsid w:val="00B835F3"/>
    <w:rsid w:val="00BA10AD"/>
    <w:rsid w:val="00BA6E46"/>
    <w:rsid w:val="00BB29DA"/>
    <w:rsid w:val="00BB5090"/>
    <w:rsid w:val="00BC426C"/>
    <w:rsid w:val="00BD0CAF"/>
    <w:rsid w:val="00BD32E1"/>
    <w:rsid w:val="00BD3A54"/>
    <w:rsid w:val="00BD423B"/>
    <w:rsid w:val="00BE40A4"/>
    <w:rsid w:val="00BF36A8"/>
    <w:rsid w:val="00BF61C6"/>
    <w:rsid w:val="00BF79DF"/>
    <w:rsid w:val="00C0127B"/>
    <w:rsid w:val="00C106B6"/>
    <w:rsid w:val="00C32249"/>
    <w:rsid w:val="00C323D2"/>
    <w:rsid w:val="00C327EE"/>
    <w:rsid w:val="00C328C8"/>
    <w:rsid w:val="00C358A3"/>
    <w:rsid w:val="00C565D4"/>
    <w:rsid w:val="00C5768A"/>
    <w:rsid w:val="00C74384"/>
    <w:rsid w:val="00C75693"/>
    <w:rsid w:val="00C80C1F"/>
    <w:rsid w:val="00C80C72"/>
    <w:rsid w:val="00C90D8C"/>
    <w:rsid w:val="00C92746"/>
    <w:rsid w:val="00CA42C6"/>
    <w:rsid w:val="00CC1B3E"/>
    <w:rsid w:val="00D248B1"/>
    <w:rsid w:val="00D33D16"/>
    <w:rsid w:val="00D40935"/>
    <w:rsid w:val="00D433F0"/>
    <w:rsid w:val="00D66167"/>
    <w:rsid w:val="00D7490A"/>
    <w:rsid w:val="00D811F4"/>
    <w:rsid w:val="00D92014"/>
    <w:rsid w:val="00D93121"/>
    <w:rsid w:val="00DA52E1"/>
    <w:rsid w:val="00DA6237"/>
    <w:rsid w:val="00DB5243"/>
    <w:rsid w:val="00DB6824"/>
    <w:rsid w:val="00DC50CD"/>
    <w:rsid w:val="00DD4396"/>
    <w:rsid w:val="00DD66F6"/>
    <w:rsid w:val="00DE0D72"/>
    <w:rsid w:val="00DE35C7"/>
    <w:rsid w:val="00DE3E13"/>
    <w:rsid w:val="00DE6F26"/>
    <w:rsid w:val="00DE7202"/>
    <w:rsid w:val="00DF4EAF"/>
    <w:rsid w:val="00DF7601"/>
    <w:rsid w:val="00E01A24"/>
    <w:rsid w:val="00E256F8"/>
    <w:rsid w:val="00E412A4"/>
    <w:rsid w:val="00E5110D"/>
    <w:rsid w:val="00E5153C"/>
    <w:rsid w:val="00E57841"/>
    <w:rsid w:val="00E57B75"/>
    <w:rsid w:val="00E62DAD"/>
    <w:rsid w:val="00E81CB2"/>
    <w:rsid w:val="00E869BE"/>
    <w:rsid w:val="00E91571"/>
    <w:rsid w:val="00E955F2"/>
    <w:rsid w:val="00EB3EEA"/>
    <w:rsid w:val="00EC17A3"/>
    <w:rsid w:val="00EC1BFE"/>
    <w:rsid w:val="00ED0FF2"/>
    <w:rsid w:val="00ED1CAD"/>
    <w:rsid w:val="00ED3DBB"/>
    <w:rsid w:val="00ED4AED"/>
    <w:rsid w:val="00EE1161"/>
    <w:rsid w:val="00EE50BF"/>
    <w:rsid w:val="00EF070D"/>
    <w:rsid w:val="00F23061"/>
    <w:rsid w:val="00F342AB"/>
    <w:rsid w:val="00F3713F"/>
    <w:rsid w:val="00F42FCB"/>
    <w:rsid w:val="00F43F97"/>
    <w:rsid w:val="00F45625"/>
    <w:rsid w:val="00F5210A"/>
    <w:rsid w:val="00F75C09"/>
    <w:rsid w:val="00F8166F"/>
    <w:rsid w:val="00F851E7"/>
    <w:rsid w:val="00F85FA9"/>
    <w:rsid w:val="00F8743D"/>
    <w:rsid w:val="00F911F9"/>
    <w:rsid w:val="00F91772"/>
    <w:rsid w:val="00FB18B1"/>
    <w:rsid w:val="00FC0CDC"/>
    <w:rsid w:val="00FC1E12"/>
    <w:rsid w:val="00FD2DB5"/>
    <w:rsid w:val="00FD7D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9FF43"/>
  <w15:chartTrackingRefBased/>
  <w15:docId w15:val="{1DC5A6E8-0C70-491F-BBBC-1D85ED6C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F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131D1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31D13"/>
    <w:pPr>
      <w:spacing w:after="0" w:line="276" w:lineRule="auto"/>
      <w:ind w:left="720"/>
      <w:contextualSpacing/>
    </w:pPr>
    <w:rPr>
      <w:rFonts w:ascii="Calibri" w:eastAsia="Calibri" w:hAnsi="Calibri" w:cs="Times New Roman"/>
    </w:rPr>
  </w:style>
  <w:style w:type="paragraph" w:styleId="Zaglavlje">
    <w:name w:val="header"/>
    <w:basedOn w:val="Normal"/>
    <w:link w:val="ZaglavljeChar"/>
    <w:uiPriority w:val="99"/>
    <w:unhideWhenUsed/>
    <w:rsid w:val="008062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62B7"/>
  </w:style>
  <w:style w:type="paragraph" w:styleId="Podnoje">
    <w:name w:val="footer"/>
    <w:basedOn w:val="Normal"/>
    <w:link w:val="PodnojeChar"/>
    <w:uiPriority w:val="99"/>
    <w:unhideWhenUsed/>
    <w:rsid w:val="008062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62B7"/>
  </w:style>
  <w:style w:type="paragraph" w:styleId="Tekstbalonia">
    <w:name w:val="Balloon Text"/>
    <w:basedOn w:val="Normal"/>
    <w:link w:val="TekstbaloniaChar"/>
    <w:uiPriority w:val="99"/>
    <w:semiHidden/>
    <w:unhideWhenUsed/>
    <w:rsid w:val="00A707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7073A"/>
    <w:rPr>
      <w:rFonts w:ascii="Segoe UI" w:hAnsi="Segoe UI" w:cs="Segoe UI"/>
      <w:sz w:val="18"/>
      <w:szCs w:val="18"/>
    </w:rPr>
  </w:style>
  <w:style w:type="table" w:customStyle="1" w:styleId="Reetkatablice1">
    <w:name w:val="Rešetka tablice1"/>
    <w:basedOn w:val="Obinatablica"/>
    <w:next w:val="Reetkatablice"/>
    <w:uiPriority w:val="39"/>
    <w:rsid w:val="00A8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4-isticanje3">
    <w:name w:val="Grid Table 4 Accent 3"/>
    <w:basedOn w:val="Obinatablica"/>
    <w:uiPriority w:val="49"/>
    <w:rsid w:val="0074588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Svijetlatablicareetke1">
    <w:name w:val="Grid Table 1 Light"/>
    <w:basedOn w:val="Obinatablica"/>
    <w:uiPriority w:val="46"/>
    <w:rsid w:val="001343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icareetke2-isticanje3">
    <w:name w:val="Grid Table 2 Accent 3"/>
    <w:basedOn w:val="Obinatablica"/>
    <w:uiPriority w:val="47"/>
    <w:rsid w:val="0013432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2-isticanje4">
    <w:name w:val="Grid Table 2 Accent 4"/>
    <w:basedOn w:val="Obinatablica"/>
    <w:uiPriority w:val="47"/>
    <w:rsid w:val="00665E6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icareetke3-isticanje2">
    <w:name w:val="Grid Table 3 Accent 2"/>
    <w:basedOn w:val="Obinatablica"/>
    <w:uiPriority w:val="48"/>
    <w:rsid w:val="00665E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reetke3">
    <w:name w:val="Grid Table 3"/>
    <w:basedOn w:val="Obinatablica"/>
    <w:uiPriority w:val="48"/>
    <w:rsid w:val="00665E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Svijetlatablicareetke1-isticanje2">
    <w:name w:val="Grid Table 1 Light Accent 3"/>
    <w:basedOn w:val="Obinatablica"/>
    <w:uiPriority w:val="46"/>
    <w:rsid w:val="007633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Odlomakpopisa2">
    <w:name w:val="Odlomak popisa2"/>
    <w:basedOn w:val="Normal"/>
    <w:qFormat/>
    <w:rsid w:val="009B6467"/>
    <w:pPr>
      <w:spacing w:after="0" w:line="276" w:lineRule="auto"/>
      <w:ind w:left="720"/>
      <w:contextualSpacing/>
    </w:pPr>
    <w:rPr>
      <w:rFonts w:ascii="Calibri" w:eastAsia="Times New Roman" w:hAnsi="Calibri" w:cs="Times New Roman"/>
    </w:rPr>
  </w:style>
  <w:style w:type="table" w:customStyle="1" w:styleId="Reetkatablice2">
    <w:name w:val="Rešetka tablice2"/>
    <w:basedOn w:val="Obinatablica"/>
    <w:next w:val="Reetkatablice"/>
    <w:uiPriority w:val="39"/>
    <w:rsid w:val="00A8143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3481">
      <w:bodyDiv w:val="1"/>
      <w:marLeft w:val="0"/>
      <w:marRight w:val="0"/>
      <w:marTop w:val="0"/>
      <w:marBottom w:val="0"/>
      <w:divBdr>
        <w:top w:val="none" w:sz="0" w:space="0" w:color="auto"/>
        <w:left w:val="none" w:sz="0" w:space="0" w:color="auto"/>
        <w:bottom w:val="none" w:sz="0" w:space="0" w:color="auto"/>
        <w:right w:val="none" w:sz="0" w:space="0" w:color="auto"/>
      </w:divBdr>
    </w:div>
    <w:div w:id="13718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1F7E0-3060-4496-B15F-4167BDFB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4586</Words>
  <Characters>26143</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17</cp:revision>
  <cp:lastPrinted>2025-06-27T14:27:00Z</cp:lastPrinted>
  <dcterms:created xsi:type="dcterms:W3CDTF">2025-06-10T15:44:00Z</dcterms:created>
  <dcterms:modified xsi:type="dcterms:W3CDTF">2025-06-27T14:32:00Z</dcterms:modified>
</cp:coreProperties>
</file>